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2024年度在榕高校大学生参加福州市城乡居民医保指南</w:t>
      </w:r>
    </w:p>
    <w:p>
      <w:pPr>
        <w:pStyle w:val="6"/>
        <w:jc w:val="center"/>
        <w:rPr>
          <w:color w:val="auto"/>
          <w:szCs w:val="21"/>
          <w:highlight w:val="none"/>
        </w:rPr>
      </w:pPr>
      <w:r>
        <w:rPr>
          <w:rFonts w:hint="eastAsia"/>
          <w:color w:val="auto"/>
          <w:szCs w:val="21"/>
          <w:highlight w:val="none"/>
        </w:rPr>
        <w:t>（2023年9月）</w:t>
      </w:r>
    </w:p>
    <w:p>
      <w:pPr>
        <w:pStyle w:val="6"/>
        <w:jc w:val="center"/>
        <w:rPr>
          <w:color w:val="auto"/>
          <w:szCs w:val="21"/>
          <w:highlight w:val="none"/>
        </w:rPr>
      </w:pPr>
    </w:p>
    <w:p>
      <w:pPr>
        <w:widowControl/>
        <w:spacing w:line="240" w:lineRule="exact"/>
        <w:ind w:firstLine="422" w:firstLineChars="200"/>
        <w:jc w:val="left"/>
        <w:outlineLvl w:val="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一、参保对象</w:t>
      </w:r>
    </w:p>
    <w:p>
      <w:pPr>
        <w:widowControl/>
        <w:spacing w:line="24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在榕各类全日制普通高等院校中接受普通高等学历教育的全日制本专科学生、全日制研究生（包括侨、港、澳、台大学生）。</w:t>
      </w:r>
    </w:p>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大学生原则上应在学籍地参加居民医保。若大学生属于户籍地行政部门认定医疗救助对象（如特困人员、低保对象等），可以选择在户籍地参保。在同一时间段内，参保人员不得重复参加职工医保和居民医保、不得在不同统筹区重复参加居民医保。重复参保的，不重复享受医保待遇。</w:t>
      </w:r>
    </w:p>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为避免重复参保，学校在申报</w:t>
      </w:r>
      <w:r>
        <w:rPr>
          <w:rFonts w:hint="eastAsia" w:asciiTheme="minorEastAsia" w:hAnsiTheme="minorEastAsia" w:eastAsiaTheme="minorEastAsia" w:cstheme="minorEastAsia"/>
          <w:color w:val="auto"/>
          <w:highlight w:val="none"/>
        </w:rPr>
        <w:t>家庭经济困难大学生</w:t>
      </w:r>
      <w:r>
        <w:rPr>
          <w:rFonts w:hint="eastAsia" w:asciiTheme="minorEastAsia" w:hAnsiTheme="minorEastAsia" w:eastAsiaTheme="minorEastAsia" w:cstheme="minorEastAsia"/>
          <w:color w:val="auto"/>
          <w:highlight w:val="none"/>
        </w:rPr>
        <w:t>名单时，应逐一核实学生在户籍地参保情况，已参保的不得重复申报。</w:t>
      </w:r>
    </w:p>
    <w:p>
      <w:pPr>
        <w:widowControl/>
        <w:spacing w:line="250" w:lineRule="exact"/>
        <w:ind w:firstLine="422" w:firstLineChars="200"/>
        <w:jc w:val="left"/>
        <w:outlineLvl w:val="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二、筹资标准</w:t>
      </w:r>
    </w:p>
    <w:p>
      <w:pPr>
        <w:widowControl/>
        <w:spacing w:line="24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城乡居民基本医疗保险实行个人缴费和政府补助相结合，我市政府补助不低于国家和省确定的标准，并逐年提高。家庭经济困难大学生个人缴费部分按学校隶属关系由同级财政补助。</w:t>
      </w:r>
    </w:p>
    <w:p>
      <w:pPr>
        <w:widowControl/>
        <w:spacing w:line="24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2024</w:t>
      </w:r>
      <w:r>
        <w:rPr>
          <w:rFonts w:hint="eastAsia" w:asciiTheme="minorEastAsia" w:hAnsiTheme="minorEastAsia" w:eastAsiaTheme="minorEastAsia" w:cstheme="minorEastAsia"/>
          <w:color w:val="auto"/>
          <w:highlight w:val="none"/>
        </w:rPr>
        <w:t>年度在校大学生参加城乡居民医保总筹资标准</w:t>
      </w:r>
      <w:r>
        <w:rPr>
          <w:rFonts w:hint="eastAsia" w:asciiTheme="minorEastAsia" w:hAnsiTheme="minorEastAsia" w:eastAsiaTheme="minorEastAsia" w:cstheme="minorEastAsia"/>
          <w:color w:val="auto"/>
          <w:highlight w:val="none"/>
        </w:rPr>
        <w:t>1170元</w:t>
      </w:r>
      <w:r>
        <w:rPr>
          <w:rFonts w:hint="eastAsia" w:asciiTheme="minorEastAsia" w:hAnsiTheme="minorEastAsia" w:eastAsiaTheme="minorEastAsia" w:cstheme="minorEastAsia"/>
          <w:color w:val="auto"/>
          <w:highlight w:val="none"/>
        </w:rPr>
        <w:t>/人，其中：个人缴费4</w:t>
      </w:r>
      <w:r>
        <w:rPr>
          <w:rFonts w:hint="eastAsia" w:asciiTheme="minorEastAsia" w:hAnsiTheme="minorEastAsia" w:eastAsiaTheme="minorEastAsia" w:cstheme="minorEastAsia"/>
          <w:color w:val="auto"/>
          <w:highlight w:val="none"/>
        </w:rPr>
        <w:t>30元/人，财政补助740元/</w:t>
      </w:r>
      <w:r>
        <w:rPr>
          <w:rFonts w:hint="eastAsia" w:asciiTheme="minorEastAsia" w:hAnsiTheme="minorEastAsia" w:eastAsiaTheme="minorEastAsia" w:cstheme="minorEastAsia"/>
          <w:color w:val="auto"/>
          <w:highlight w:val="none"/>
        </w:rPr>
        <w:t>人。</w:t>
      </w:r>
    </w:p>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9月份新入学大学生，原则上从</w:t>
      </w:r>
      <w:r>
        <w:rPr>
          <w:rFonts w:hint="eastAsia" w:asciiTheme="minorEastAsia" w:hAnsiTheme="minorEastAsia" w:eastAsiaTheme="minorEastAsia" w:cstheme="minorEastAsia"/>
          <w:color w:val="auto"/>
          <w:highlight w:val="none"/>
        </w:rPr>
        <w:t>2024年</w:t>
      </w:r>
      <w:r>
        <w:rPr>
          <w:rFonts w:hint="eastAsia" w:asciiTheme="minorEastAsia" w:hAnsiTheme="minorEastAsia" w:eastAsiaTheme="minorEastAsia" w:cstheme="minorEastAsia"/>
          <w:color w:val="auto"/>
          <w:highlight w:val="none"/>
        </w:rPr>
        <w:t>起开始连续参加福州市城乡居民医保直至毕业。若大学新生</w:t>
      </w:r>
      <w:r>
        <w:rPr>
          <w:rFonts w:hint="eastAsia" w:asciiTheme="minorEastAsia" w:hAnsiTheme="minorEastAsia" w:eastAsiaTheme="minorEastAsia" w:cstheme="minorEastAsia"/>
          <w:color w:val="auto"/>
          <w:highlight w:val="none"/>
        </w:rPr>
        <w:t>2023年度</w:t>
      </w:r>
      <w:r>
        <w:rPr>
          <w:rFonts w:hint="eastAsia" w:asciiTheme="minorEastAsia" w:hAnsiTheme="minorEastAsia" w:eastAsiaTheme="minorEastAsia" w:cstheme="minorEastAsia"/>
          <w:color w:val="auto"/>
          <w:highlight w:val="none"/>
        </w:rPr>
        <w:t>未参加基本医保，在</w:t>
      </w:r>
      <w:r>
        <w:rPr>
          <w:rFonts w:hint="eastAsia" w:asciiTheme="minorEastAsia" w:hAnsiTheme="minorEastAsia" w:eastAsiaTheme="minorEastAsia" w:cstheme="minorEastAsia"/>
          <w:color w:val="auto"/>
          <w:highlight w:val="none"/>
        </w:rPr>
        <w:t>2024</w:t>
      </w:r>
      <w:r>
        <w:rPr>
          <w:rFonts w:hint="eastAsia" w:asciiTheme="minorEastAsia" w:hAnsiTheme="minorEastAsia" w:eastAsiaTheme="minorEastAsia" w:cstheme="minorEastAsia"/>
          <w:color w:val="auto"/>
          <w:highlight w:val="none"/>
        </w:rPr>
        <w:t>年2月底前完成缴纳</w:t>
      </w:r>
      <w:r>
        <w:rPr>
          <w:rFonts w:hint="eastAsia" w:asciiTheme="minorEastAsia" w:hAnsiTheme="minorEastAsia" w:eastAsiaTheme="minorEastAsia" w:cstheme="minorEastAsia"/>
          <w:color w:val="auto"/>
          <w:highlight w:val="none"/>
        </w:rPr>
        <w:t>2024</w:t>
      </w:r>
      <w:r>
        <w:rPr>
          <w:rFonts w:hint="eastAsia" w:asciiTheme="minorEastAsia" w:hAnsiTheme="minorEastAsia" w:eastAsiaTheme="minorEastAsia" w:cstheme="minorEastAsia"/>
          <w:color w:val="auto"/>
          <w:highlight w:val="none"/>
        </w:rPr>
        <w:t>年度居民医保费的（</w:t>
      </w:r>
      <w:r>
        <w:rPr>
          <w:rFonts w:hint="eastAsia" w:asciiTheme="minorEastAsia" w:hAnsiTheme="minorEastAsia" w:eastAsiaTheme="minorEastAsia" w:cstheme="minorEastAsia"/>
          <w:color w:val="auto"/>
          <w:highlight w:val="none"/>
        </w:rPr>
        <w:t>2023</w:t>
      </w:r>
      <w:r>
        <w:rPr>
          <w:rFonts w:hint="eastAsia" w:asciiTheme="minorEastAsia" w:hAnsiTheme="minorEastAsia" w:eastAsiaTheme="minorEastAsia" w:cstheme="minorEastAsia"/>
          <w:color w:val="auto"/>
          <w:highlight w:val="none"/>
        </w:rPr>
        <w:t>年9月至12月不缴费），不设医保等待期，可按规定享受城乡居民医保待遇。</w:t>
      </w:r>
    </w:p>
    <w:p>
      <w:pPr>
        <w:widowControl/>
        <w:spacing w:line="250" w:lineRule="exact"/>
        <w:ind w:firstLine="422" w:firstLineChars="200"/>
        <w:jc w:val="left"/>
        <w:outlineLvl w:val="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三、参保方式</w:t>
      </w:r>
    </w:p>
    <w:p>
      <w:pPr>
        <w:widowControl/>
        <w:spacing w:line="240" w:lineRule="exact"/>
        <w:ind w:firstLine="422" w:firstLineChars="200"/>
        <w:jc w:val="left"/>
        <w:outlineLvl w:val="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（一）参保流程</w:t>
      </w:r>
    </w:p>
    <w:p>
      <w:pPr>
        <w:widowControl/>
        <w:spacing w:line="24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学校组织大学生参保登记，审核后统一向医保中心申报。办理城乡居民医保参保登记后，在参保缴费期间，学生通过税务部门的渠道进行缴费。</w:t>
      </w:r>
    </w:p>
    <w:p>
      <w:pPr>
        <w:widowControl/>
        <w:spacing w:line="250" w:lineRule="exact"/>
        <w:ind w:firstLine="420"/>
        <w:jc w:val="left"/>
        <w:outlineLvl w:val="0"/>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（二）参保时间</w:t>
      </w:r>
    </w:p>
    <w:p>
      <w:pPr>
        <w:widowControl/>
        <w:spacing w:line="250" w:lineRule="exact"/>
        <w:ind w:firstLine="42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参保缴费期限为</w:t>
      </w:r>
      <w:r>
        <w:rPr>
          <w:rFonts w:hint="eastAsia" w:asciiTheme="minorEastAsia" w:hAnsiTheme="minorEastAsia" w:eastAsiaTheme="minorEastAsia" w:cstheme="minorEastAsia"/>
          <w:color w:val="auto"/>
          <w:highlight w:val="none"/>
        </w:rPr>
        <w:t>2023</w:t>
      </w:r>
      <w:r>
        <w:rPr>
          <w:rFonts w:hint="eastAsia" w:asciiTheme="minorEastAsia" w:hAnsiTheme="minorEastAsia" w:eastAsiaTheme="minorEastAsia" w:cstheme="minorEastAsia"/>
          <w:color w:val="auto"/>
          <w:highlight w:val="none"/>
        </w:rPr>
        <w:t>年9月1日至2024年2月</w:t>
      </w:r>
      <w:r>
        <w:rPr>
          <w:rFonts w:hint="eastAsia" w:asciiTheme="minorEastAsia" w:hAnsiTheme="minorEastAsia" w:eastAsiaTheme="minorEastAsia" w:cstheme="minorEastAsia"/>
          <w:color w:val="auto"/>
          <w:kern w:val="0"/>
          <w:sz w:val="22"/>
          <w:szCs w:val="22"/>
          <w:highlight w:val="none"/>
        </w:rPr>
        <w:t>29</w:t>
      </w:r>
      <w:r>
        <w:rPr>
          <w:rFonts w:hint="eastAsia" w:asciiTheme="minorEastAsia" w:hAnsiTheme="minorEastAsia" w:eastAsiaTheme="minorEastAsia" w:cstheme="minorEastAsia"/>
          <w:color w:val="auto"/>
          <w:highlight w:val="none"/>
        </w:rPr>
        <w:t>日,待遇享受期限为2024年1月1日至12月31日，其中2024年1月1日至2024年2月2</w:t>
      </w:r>
      <w:r>
        <w:rPr>
          <w:rFonts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t>日缴费的，从缴费之日开始享受医保待遇。</w:t>
      </w:r>
    </w:p>
    <w:p>
      <w:pPr>
        <w:widowControl/>
        <w:spacing w:line="250" w:lineRule="exact"/>
        <w:ind w:firstLine="420"/>
        <w:jc w:val="left"/>
        <w:outlineLvl w:val="0"/>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（三）逾期补缴规定</w:t>
      </w:r>
    </w:p>
    <w:p>
      <w:pPr>
        <w:widowControl/>
        <w:spacing w:line="250" w:lineRule="exact"/>
        <w:ind w:firstLine="420"/>
        <w:jc w:val="left"/>
        <w:outlineLvl w:val="0"/>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未在规定参保缴费期限办理参保缴费的大学生，允许其参保缴费，但设有60天的等待期，等待期过后再按规定享受相应的医疗保险待遇，缴费之前和等待期期间发生的医疗费用，医保基金不予支付。具体规定如下：</w:t>
      </w:r>
    </w:p>
    <w:tbl>
      <w:tblPr>
        <w:tblStyle w:val="5"/>
        <w:tblpPr w:leftFromText="180" w:rightFromText="180" w:vertAnchor="text" w:horzAnchor="page" w:tblpXSpec="center" w:tblpY="228"/>
        <w:tblOverlap w:val="never"/>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199"/>
        <w:gridCol w:w="1814"/>
        <w:gridCol w:w="2093"/>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936" w:type="dxa"/>
            <w:vAlign w:val="center"/>
          </w:tcPr>
          <w:p>
            <w:pPr>
              <w:spacing w:line="480" w:lineRule="exact"/>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时期</w:t>
            </w:r>
          </w:p>
        </w:tc>
        <w:tc>
          <w:tcPr>
            <w:tcW w:w="2199" w:type="dxa"/>
            <w:vAlign w:val="center"/>
          </w:tcPr>
          <w:p>
            <w:pPr>
              <w:spacing w:line="480" w:lineRule="exact"/>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缴费时间</w:t>
            </w:r>
          </w:p>
        </w:tc>
        <w:tc>
          <w:tcPr>
            <w:tcW w:w="1814" w:type="dxa"/>
            <w:vAlign w:val="center"/>
          </w:tcPr>
          <w:p>
            <w:pPr>
              <w:spacing w:line="480" w:lineRule="exact"/>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缴费金额</w:t>
            </w:r>
          </w:p>
        </w:tc>
        <w:tc>
          <w:tcPr>
            <w:tcW w:w="2093" w:type="dxa"/>
            <w:vAlign w:val="center"/>
          </w:tcPr>
          <w:p>
            <w:pPr>
              <w:spacing w:line="480" w:lineRule="exact"/>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待遇享受时间</w:t>
            </w:r>
          </w:p>
        </w:tc>
        <w:tc>
          <w:tcPr>
            <w:tcW w:w="2165" w:type="dxa"/>
            <w:vAlign w:val="center"/>
          </w:tcPr>
          <w:p>
            <w:pPr>
              <w:spacing w:line="480" w:lineRule="exact"/>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医保等待期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936"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正常</w:t>
            </w:r>
          </w:p>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缴费期</w:t>
            </w:r>
          </w:p>
        </w:tc>
        <w:tc>
          <w:tcPr>
            <w:tcW w:w="2199"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2023年9月1日至2023年12月31日</w:t>
            </w:r>
          </w:p>
        </w:tc>
        <w:tc>
          <w:tcPr>
            <w:tcW w:w="1814"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个人缴费标准</w:t>
            </w:r>
          </w:p>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（430元</w:t>
            </w:r>
            <w:r>
              <w:rPr>
                <w:rFonts w:hint="eastAsia" w:ascii="仿宋" w:hAnsi="仿宋" w:eastAsia="仿宋" w:cs="仿宋"/>
                <w:color w:val="auto"/>
                <w:sz w:val="18"/>
                <w:szCs w:val="18"/>
                <w:highlight w:val="none"/>
              </w:rPr>
              <w:t>/人</w:t>
            </w:r>
            <w:r>
              <w:rPr>
                <w:rFonts w:hint="eastAsia" w:ascii="仿宋" w:hAnsi="仿宋" w:eastAsia="仿宋" w:cs="仿宋"/>
                <w:color w:val="auto"/>
                <w:kern w:val="0"/>
                <w:sz w:val="18"/>
                <w:szCs w:val="18"/>
                <w:highlight w:val="none"/>
              </w:rPr>
              <w:t>）</w:t>
            </w:r>
          </w:p>
        </w:tc>
        <w:tc>
          <w:tcPr>
            <w:tcW w:w="2093"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2024年1月1日起</w:t>
            </w:r>
          </w:p>
        </w:tc>
        <w:tc>
          <w:tcPr>
            <w:tcW w:w="2165"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936"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延长</w:t>
            </w:r>
          </w:p>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缴费期</w:t>
            </w:r>
          </w:p>
        </w:tc>
        <w:tc>
          <w:tcPr>
            <w:tcW w:w="2199"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2024年1月1日至2024</w:t>
            </w:r>
            <w:r>
              <w:rPr>
                <w:rFonts w:hint="eastAsia" w:ascii="仿宋" w:hAnsi="仿宋" w:eastAsia="仿宋" w:cs="仿宋"/>
                <w:color w:val="auto"/>
                <w:kern w:val="0"/>
                <w:sz w:val="18"/>
                <w:szCs w:val="18"/>
                <w:highlight w:val="none"/>
              </w:rPr>
              <w:t>年2月29日</w:t>
            </w:r>
          </w:p>
        </w:tc>
        <w:tc>
          <w:tcPr>
            <w:tcW w:w="1814"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个人缴费标准</w:t>
            </w:r>
          </w:p>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（430元</w:t>
            </w:r>
            <w:r>
              <w:rPr>
                <w:rFonts w:hint="eastAsia" w:ascii="仿宋" w:hAnsi="仿宋" w:eastAsia="仿宋" w:cs="仿宋"/>
                <w:color w:val="auto"/>
                <w:sz w:val="18"/>
                <w:szCs w:val="18"/>
                <w:highlight w:val="none"/>
              </w:rPr>
              <w:t>/人</w:t>
            </w:r>
            <w:r>
              <w:rPr>
                <w:rFonts w:hint="eastAsia" w:ascii="仿宋" w:hAnsi="仿宋" w:eastAsia="仿宋" w:cs="仿宋"/>
                <w:color w:val="auto"/>
                <w:kern w:val="0"/>
                <w:sz w:val="18"/>
                <w:szCs w:val="18"/>
                <w:highlight w:val="none"/>
              </w:rPr>
              <w:t>）</w:t>
            </w:r>
          </w:p>
        </w:tc>
        <w:tc>
          <w:tcPr>
            <w:tcW w:w="2093"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缴费之日开始</w:t>
            </w:r>
          </w:p>
        </w:tc>
        <w:tc>
          <w:tcPr>
            <w:tcW w:w="2165"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936" w:type="dxa"/>
            <w:vMerge w:val="restart"/>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补缴期</w:t>
            </w:r>
          </w:p>
        </w:tc>
        <w:tc>
          <w:tcPr>
            <w:tcW w:w="2199"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2024年3月1日至2024年6月30日</w:t>
            </w:r>
          </w:p>
        </w:tc>
        <w:tc>
          <w:tcPr>
            <w:tcW w:w="1814"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个人缴费标准</w:t>
            </w:r>
          </w:p>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（430元</w:t>
            </w:r>
            <w:r>
              <w:rPr>
                <w:rFonts w:hint="eastAsia" w:ascii="仿宋" w:hAnsi="仿宋" w:eastAsia="仿宋" w:cs="仿宋"/>
                <w:color w:val="auto"/>
                <w:sz w:val="18"/>
                <w:szCs w:val="18"/>
                <w:highlight w:val="none"/>
              </w:rPr>
              <w:t>/人</w:t>
            </w:r>
            <w:r>
              <w:rPr>
                <w:rFonts w:hint="eastAsia" w:ascii="仿宋" w:hAnsi="仿宋" w:eastAsia="仿宋" w:cs="仿宋"/>
                <w:color w:val="auto"/>
                <w:kern w:val="0"/>
                <w:sz w:val="18"/>
                <w:szCs w:val="18"/>
                <w:highlight w:val="none"/>
              </w:rPr>
              <w:t>）</w:t>
            </w:r>
          </w:p>
        </w:tc>
        <w:tc>
          <w:tcPr>
            <w:tcW w:w="4258" w:type="dxa"/>
            <w:gridSpan w:val="2"/>
            <w:vMerge w:val="restart"/>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从缴费之日起60日内为医保等待期，等待期内参保人员不享受城乡居民医保待遇。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jc w:val="center"/>
        </w:trPr>
        <w:tc>
          <w:tcPr>
            <w:tcW w:w="936" w:type="dxa"/>
            <w:vMerge w:val="continue"/>
            <w:vAlign w:val="center"/>
          </w:tcPr>
          <w:p>
            <w:pPr>
              <w:spacing w:line="560" w:lineRule="exact"/>
              <w:jc w:val="center"/>
              <w:rPr>
                <w:rFonts w:ascii="仿宋" w:hAnsi="仿宋" w:eastAsia="仿宋" w:cs="仿宋"/>
                <w:color w:val="auto"/>
                <w:kern w:val="0"/>
                <w:sz w:val="18"/>
                <w:szCs w:val="18"/>
                <w:highlight w:val="none"/>
              </w:rPr>
            </w:pPr>
          </w:p>
        </w:tc>
        <w:tc>
          <w:tcPr>
            <w:tcW w:w="2199" w:type="dxa"/>
            <w:vAlign w:val="center"/>
          </w:tcPr>
          <w:p>
            <w:pPr>
              <w:spacing w:line="480" w:lineRule="exact"/>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2024年7月1日至2024</w:t>
            </w:r>
            <w:r>
              <w:rPr>
                <w:rFonts w:hint="eastAsia" w:ascii="仿宋" w:hAnsi="仿宋" w:eastAsia="仿宋" w:cs="仿宋"/>
                <w:color w:val="auto"/>
                <w:kern w:val="0"/>
                <w:sz w:val="18"/>
                <w:szCs w:val="18"/>
                <w:highlight w:val="none"/>
              </w:rPr>
              <w:t>年1</w:t>
            </w:r>
            <w:r>
              <w:rPr>
                <w:rFonts w:ascii="仿宋" w:hAnsi="仿宋" w:eastAsia="仿宋" w:cs="仿宋"/>
                <w:color w:val="auto"/>
                <w:kern w:val="0"/>
                <w:sz w:val="18"/>
                <w:szCs w:val="18"/>
                <w:highlight w:val="none"/>
              </w:rPr>
              <w:t>1</w:t>
            </w:r>
            <w:r>
              <w:rPr>
                <w:rFonts w:hint="eastAsia" w:ascii="仿宋" w:hAnsi="仿宋" w:eastAsia="仿宋" w:cs="仿宋"/>
                <w:color w:val="auto"/>
                <w:kern w:val="0"/>
                <w:sz w:val="18"/>
                <w:szCs w:val="18"/>
                <w:highlight w:val="none"/>
              </w:rPr>
              <w:t>月1日</w:t>
            </w:r>
          </w:p>
        </w:tc>
        <w:tc>
          <w:tcPr>
            <w:tcW w:w="1814" w:type="dxa"/>
            <w:vAlign w:val="center"/>
          </w:tcPr>
          <w:p>
            <w:pPr>
              <w:spacing w:line="480" w:lineRule="exact"/>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个人缴费标准+财政补助</w:t>
            </w:r>
          </w:p>
          <w:p>
            <w:pPr>
              <w:pStyle w:val="3"/>
              <w:ind w:firstLine="0" w:firstLineChars="0"/>
              <w:rPr>
                <w:rFonts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（1170元</w:t>
            </w:r>
            <w:r>
              <w:rPr>
                <w:rFonts w:hint="eastAsia" w:ascii="仿宋" w:hAnsi="仿宋" w:eastAsia="仿宋" w:cs="仿宋"/>
                <w:color w:val="auto"/>
                <w:sz w:val="18"/>
                <w:szCs w:val="18"/>
                <w:highlight w:val="none"/>
              </w:rPr>
              <w:t>/人</w:t>
            </w:r>
            <w:r>
              <w:rPr>
                <w:rFonts w:hint="eastAsia" w:ascii="仿宋" w:hAnsi="仿宋" w:eastAsia="仿宋" w:cs="仿宋"/>
                <w:color w:val="auto"/>
                <w:kern w:val="0"/>
                <w:sz w:val="18"/>
                <w:szCs w:val="18"/>
                <w:highlight w:val="none"/>
              </w:rPr>
              <w:t>）</w:t>
            </w:r>
          </w:p>
        </w:tc>
        <w:tc>
          <w:tcPr>
            <w:tcW w:w="4258" w:type="dxa"/>
            <w:gridSpan w:val="2"/>
            <w:vMerge w:val="continue"/>
            <w:vAlign w:val="center"/>
          </w:tcPr>
          <w:p>
            <w:pPr>
              <w:spacing w:line="560" w:lineRule="exact"/>
              <w:jc w:val="center"/>
              <w:rPr>
                <w:rFonts w:ascii="仿宋" w:hAnsi="仿宋" w:eastAsia="仿宋" w:cs="仿宋"/>
                <w:color w:val="auto"/>
                <w:kern w:val="0"/>
                <w:sz w:val="18"/>
                <w:szCs w:val="18"/>
                <w:highlight w:val="none"/>
              </w:rPr>
            </w:pPr>
          </w:p>
        </w:tc>
      </w:tr>
    </w:tbl>
    <w:p>
      <w:pPr>
        <w:widowControl/>
        <w:spacing w:line="250" w:lineRule="exact"/>
        <w:jc w:val="left"/>
        <w:outlineLvl w:val="0"/>
        <w:rPr>
          <w:rFonts w:asciiTheme="minorEastAsia" w:hAnsiTheme="minorEastAsia" w:eastAsiaTheme="minorEastAsia" w:cstheme="minorEastAsia"/>
          <w:color w:val="auto"/>
          <w:highlight w:val="none"/>
        </w:rPr>
      </w:pPr>
    </w:p>
    <w:p>
      <w:pPr>
        <w:widowControl/>
        <w:numPr>
          <w:ilvl w:val="0"/>
          <w:numId w:val="1"/>
        </w:numPr>
        <w:spacing w:line="250" w:lineRule="exact"/>
        <w:ind w:firstLine="422" w:firstLineChars="200"/>
        <w:jc w:val="left"/>
        <w:outlineLvl w:val="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缴费方式</w:t>
      </w:r>
    </w:p>
    <w:p>
      <w:pPr>
        <w:widowControl/>
        <w:spacing w:line="250" w:lineRule="exact"/>
        <w:ind w:firstLine="420"/>
        <w:jc w:val="left"/>
        <w:outlineLvl w:val="0"/>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大学生办理参保登记后，通过以下渠道缴费:</w:t>
      </w:r>
    </w:p>
    <w:p>
      <w:pPr>
        <w:widowControl/>
        <w:spacing w:line="250" w:lineRule="exact"/>
        <w:ind w:firstLine="420"/>
        <w:jc w:val="left"/>
        <w:outlineLvl w:val="0"/>
        <w:rPr>
          <w:rFonts w:ascii="宋体" w:hAnsi="宋体" w:cs="宋体"/>
          <w:color w:val="auto"/>
          <w:kern w:val="0"/>
          <w:highlight w:val="none"/>
        </w:rPr>
      </w:pPr>
      <w:r>
        <w:rPr>
          <w:rFonts w:hint="eastAsia" w:ascii="宋体" w:hAnsi="宋体" w:cs="宋体"/>
          <w:color w:val="auto"/>
          <w:kern w:val="0"/>
          <w:highlight w:val="none"/>
        </w:rPr>
        <w:t>（一）</w:t>
      </w:r>
      <w:r>
        <w:rPr>
          <w:rFonts w:hint="eastAsia" w:cs="宋体"/>
          <w:color w:val="auto"/>
          <w:kern w:val="0"/>
          <w:highlight w:val="none"/>
        </w:rPr>
        <w:t>线上渠道：通过福建税务APP、国家税务总局福建省电子税务局、福建税务微信公众号、</w:t>
      </w:r>
      <w:r>
        <w:rPr>
          <w:rFonts w:hint="eastAsia" w:ascii="宋体" w:hAnsi="宋体" w:cs="宋体"/>
          <w:color w:val="auto"/>
          <w:kern w:val="0"/>
          <w:highlight w:val="none"/>
        </w:rPr>
        <w:t>福州税务</w:t>
      </w:r>
      <w:bookmarkStart w:id="0" w:name="_Hlk144536179"/>
      <w:r>
        <w:rPr>
          <w:rFonts w:hint="eastAsia" w:cs="宋体"/>
          <w:color w:val="auto"/>
          <w:kern w:val="0"/>
          <w:highlight w:val="none"/>
        </w:rPr>
        <w:t>微信公众号</w:t>
      </w:r>
      <w:bookmarkEnd w:id="0"/>
      <w:r>
        <w:rPr>
          <w:rFonts w:hint="eastAsia" w:cs="宋体"/>
          <w:color w:val="auto"/>
          <w:kern w:val="0"/>
          <w:highlight w:val="none"/>
        </w:rPr>
        <w:t>、</w:t>
      </w:r>
      <w:r>
        <w:rPr>
          <w:rFonts w:hint="eastAsia" w:ascii="宋体" w:hAnsi="宋体" w:cs="宋体"/>
          <w:color w:val="auto"/>
          <w:kern w:val="0"/>
          <w:highlight w:val="none"/>
        </w:rPr>
        <w:t>闽政通、</w:t>
      </w:r>
      <w:r>
        <w:rPr>
          <w:rFonts w:hint="eastAsia" w:ascii="宋体" w:hAnsi="宋体" w:cs="宋体"/>
          <w:color w:val="auto"/>
          <w:kern w:val="0"/>
          <w:highlight w:val="none"/>
        </w:rPr>
        <w:t>e福州</w:t>
      </w:r>
      <w:r>
        <w:rPr>
          <w:rFonts w:hint="eastAsia" w:ascii="宋体" w:hAnsi="宋体" w:cs="宋体"/>
          <w:color w:val="auto"/>
          <w:kern w:val="0"/>
          <w:highlight w:val="none"/>
        </w:rPr>
        <w:t>、云闪付APP</w:t>
      </w:r>
      <w:r>
        <w:rPr>
          <w:rFonts w:hint="eastAsia" w:cs="宋体"/>
          <w:color w:val="auto"/>
          <w:kern w:val="0"/>
          <w:highlight w:val="none"/>
        </w:rPr>
        <w:t>、支付宝等渠道办理缴费。</w:t>
      </w:r>
      <w:r>
        <w:rPr>
          <w:rFonts w:ascii="宋体" w:hAnsi="宋体" w:cs="宋体"/>
          <w:color w:val="auto"/>
          <w:kern w:val="0"/>
          <w:highlight w:val="none"/>
        </w:rPr>
        <w:t xml:space="preserve"> </w:t>
      </w:r>
    </w:p>
    <w:p>
      <w:pPr>
        <w:pStyle w:val="3"/>
        <w:rPr>
          <w:color w:val="auto"/>
          <w:highlight w:val="none"/>
        </w:rPr>
      </w:pPr>
      <w:r>
        <w:rPr>
          <w:rFonts w:hint="eastAsia" w:cs="宋体"/>
          <w:color w:val="auto"/>
          <w:kern w:val="0"/>
          <w:sz w:val="21"/>
          <w:szCs w:val="21"/>
          <w:highlight w:val="none"/>
        </w:rPr>
        <w:t>(二)线下渠道：持有效身份证件及银行卡，到税务部门的办税服务大厅窗口、农行营业网点柜面、农商银行营业网点柜面、农村普惠金融服务点办理缴费。</w:t>
      </w:r>
    </w:p>
    <w:p>
      <w:pPr>
        <w:widowControl/>
        <w:spacing w:line="250" w:lineRule="exact"/>
        <w:ind w:firstLine="422" w:firstLineChars="200"/>
        <w:jc w:val="left"/>
        <w:outlineLvl w:val="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五、医疗保险待遇</w:t>
      </w:r>
    </w:p>
    <w:p>
      <w:pPr>
        <w:widowControl/>
        <w:spacing w:line="250" w:lineRule="exact"/>
        <w:ind w:firstLine="422" w:firstLineChars="200"/>
        <w:jc w:val="left"/>
        <w:outlineLvl w:val="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（一）普通门诊补偿待遇</w:t>
      </w:r>
    </w:p>
    <w:tbl>
      <w:tblPr>
        <w:tblStyle w:val="5"/>
        <w:tblW w:w="5063" w:type="dxa"/>
        <w:jc w:val="center"/>
        <w:tblInd w:w="0" w:type="dxa"/>
        <w:tblLayout w:type="fixed"/>
        <w:tblCellMar>
          <w:top w:w="15" w:type="dxa"/>
          <w:left w:w="15" w:type="dxa"/>
          <w:bottom w:w="15" w:type="dxa"/>
          <w:right w:w="15" w:type="dxa"/>
        </w:tblCellMar>
      </w:tblPr>
      <w:tblGrid>
        <w:gridCol w:w="1201"/>
        <w:gridCol w:w="2352"/>
        <w:gridCol w:w="1510"/>
      </w:tblGrid>
      <w:tr>
        <w:tblPrEx>
          <w:tblLayout w:type="fixed"/>
          <w:tblCellMar>
            <w:top w:w="15" w:type="dxa"/>
            <w:left w:w="15" w:type="dxa"/>
            <w:bottom w:w="15" w:type="dxa"/>
            <w:right w:w="15" w:type="dxa"/>
          </w:tblCellMar>
        </w:tblPrEx>
        <w:trPr>
          <w:trHeight w:val="688" w:hRule="atLeast"/>
          <w:jc w:val="center"/>
        </w:trPr>
        <w:tc>
          <w:tcPr>
            <w:tcW w:w="3553" w:type="dxa"/>
            <w:gridSpan w:val="2"/>
            <w:tcBorders>
              <w:top w:val="single" w:color="auto" w:sz="12" w:space="0"/>
              <w:left w:val="single" w:color="auto" w:sz="12" w:space="0"/>
              <w:bottom w:val="single" w:color="000000" w:sz="4" w:space="0"/>
              <w:right w:val="single" w:color="000000" w:sz="4" w:space="0"/>
              <w:tl2br w:val="single" w:color="000000" w:sz="4" w:space="0"/>
            </w:tcBorders>
            <w:vAlign w:val="center"/>
          </w:tcPr>
          <w:p>
            <w:pPr>
              <w:widowControl/>
              <w:spacing w:line="250" w:lineRule="exact"/>
              <w:ind w:firstLine="1680" w:firstLineChars="8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医疗机构</w:t>
            </w:r>
          </w:p>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报销政策</w:t>
            </w:r>
          </w:p>
        </w:tc>
        <w:tc>
          <w:tcPr>
            <w:tcW w:w="1510" w:type="dxa"/>
            <w:tcBorders>
              <w:top w:val="single" w:color="auto" w:sz="12" w:space="0"/>
              <w:left w:val="single" w:color="000000" w:sz="4" w:space="0"/>
              <w:bottom w:val="single" w:color="000000" w:sz="4" w:space="0"/>
              <w:right w:val="single" w:color="auto" w:sz="12" w:space="0"/>
            </w:tcBorders>
            <w:vAlign w:val="center"/>
          </w:tcPr>
          <w:p>
            <w:pPr>
              <w:widowControl/>
              <w:spacing w:line="250" w:lineRule="exact"/>
              <w:jc w:val="center"/>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福建省内联网的定点医疗机构</w:t>
            </w:r>
          </w:p>
        </w:tc>
      </w:tr>
      <w:tr>
        <w:tblPrEx>
          <w:tblLayout w:type="fixed"/>
          <w:tblCellMar>
            <w:top w:w="15" w:type="dxa"/>
            <w:left w:w="15" w:type="dxa"/>
            <w:bottom w:w="15" w:type="dxa"/>
            <w:right w:w="15" w:type="dxa"/>
          </w:tblCellMar>
        </w:tblPrEx>
        <w:trPr>
          <w:trHeight w:val="289" w:hRule="atLeast"/>
          <w:jc w:val="center"/>
        </w:trPr>
        <w:tc>
          <w:tcPr>
            <w:tcW w:w="1201" w:type="dxa"/>
            <w:vMerge w:val="restart"/>
            <w:tcBorders>
              <w:top w:val="single" w:color="000000" w:sz="4" w:space="0"/>
              <w:left w:val="single" w:color="auto" w:sz="12" w:space="0"/>
              <w:bottom w:val="single" w:color="000000" w:sz="4" w:space="0"/>
              <w:right w:val="single" w:color="000000" w:sz="4" w:space="0"/>
            </w:tcBorders>
            <w:vAlign w:val="center"/>
          </w:tcPr>
          <w:p>
            <w:pPr>
              <w:widowControl/>
              <w:spacing w:line="250" w:lineRule="exact"/>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基本医保范围内费用</w:t>
            </w:r>
          </w:p>
        </w:tc>
        <w:tc>
          <w:tcPr>
            <w:tcW w:w="2352" w:type="dxa"/>
            <w:tcBorders>
              <w:top w:val="single" w:color="000000" w:sz="4" w:space="0"/>
              <w:left w:val="single" w:color="000000" w:sz="4" w:space="0"/>
              <w:bottom w:val="single" w:color="000000" w:sz="4" w:space="0"/>
              <w:right w:val="single" w:color="000000" w:sz="4" w:space="0"/>
            </w:tcBorders>
            <w:vAlign w:val="center"/>
          </w:tcPr>
          <w:p>
            <w:pPr>
              <w:widowControl/>
              <w:spacing w:line="250" w:lineRule="exact"/>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起付线(每次就诊)</w:t>
            </w:r>
          </w:p>
        </w:tc>
        <w:tc>
          <w:tcPr>
            <w:tcW w:w="1510" w:type="dxa"/>
            <w:tcBorders>
              <w:top w:val="single" w:color="000000" w:sz="4" w:space="0"/>
              <w:left w:val="single" w:color="000000" w:sz="4" w:space="0"/>
              <w:bottom w:val="single" w:color="000000" w:sz="4" w:space="0"/>
              <w:right w:val="single" w:color="auto" w:sz="12" w:space="0"/>
            </w:tcBorders>
            <w:vAlign w:val="center"/>
          </w:tcPr>
          <w:p>
            <w:pPr>
              <w:widowControl/>
              <w:spacing w:line="250" w:lineRule="exact"/>
              <w:ind w:firstLine="420" w:firstLineChars="200"/>
              <w:jc w:val="center"/>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0元</w:t>
            </w:r>
          </w:p>
        </w:tc>
      </w:tr>
      <w:tr>
        <w:tblPrEx>
          <w:tblLayout w:type="fixed"/>
          <w:tblCellMar>
            <w:top w:w="15" w:type="dxa"/>
            <w:left w:w="15" w:type="dxa"/>
            <w:bottom w:w="15" w:type="dxa"/>
            <w:right w:w="15" w:type="dxa"/>
          </w:tblCellMar>
        </w:tblPrEx>
        <w:trPr>
          <w:trHeight w:val="284" w:hRule="atLeast"/>
          <w:jc w:val="center"/>
        </w:trPr>
        <w:tc>
          <w:tcPr>
            <w:tcW w:w="1201" w:type="dxa"/>
            <w:vMerge w:val="continue"/>
            <w:tcBorders>
              <w:top w:val="single" w:color="000000" w:sz="4" w:space="0"/>
              <w:left w:val="single" w:color="auto" w:sz="12" w:space="0"/>
              <w:bottom w:val="single" w:color="000000" w:sz="4" w:space="0"/>
              <w:right w:val="single" w:color="000000" w:sz="4" w:space="0"/>
            </w:tcBorders>
            <w:vAlign w:val="center"/>
          </w:tcPr>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p>
        </w:tc>
        <w:tc>
          <w:tcPr>
            <w:tcW w:w="2352" w:type="dxa"/>
            <w:tcBorders>
              <w:top w:val="single" w:color="000000" w:sz="4" w:space="0"/>
              <w:left w:val="single" w:color="000000" w:sz="4" w:space="0"/>
              <w:bottom w:val="single" w:color="000000" w:sz="4" w:space="0"/>
              <w:right w:val="single" w:color="000000" w:sz="4" w:space="0"/>
            </w:tcBorders>
            <w:vAlign w:val="center"/>
          </w:tcPr>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报销比例</w:t>
            </w:r>
          </w:p>
        </w:tc>
        <w:tc>
          <w:tcPr>
            <w:tcW w:w="1510" w:type="dxa"/>
            <w:tcBorders>
              <w:top w:val="single" w:color="000000" w:sz="4" w:space="0"/>
              <w:left w:val="single" w:color="000000" w:sz="4" w:space="0"/>
              <w:bottom w:val="single" w:color="000000" w:sz="4" w:space="0"/>
              <w:right w:val="single" w:color="auto" w:sz="12" w:space="0"/>
            </w:tcBorders>
            <w:vAlign w:val="center"/>
          </w:tcPr>
          <w:p>
            <w:pPr>
              <w:widowControl/>
              <w:spacing w:line="250" w:lineRule="exact"/>
              <w:ind w:firstLine="420" w:firstLineChars="200"/>
              <w:jc w:val="center"/>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w:t>
            </w:r>
          </w:p>
        </w:tc>
      </w:tr>
      <w:tr>
        <w:tblPrEx>
          <w:tblLayout w:type="fixed"/>
          <w:tblCellMar>
            <w:top w:w="15" w:type="dxa"/>
            <w:left w:w="15" w:type="dxa"/>
            <w:bottom w:w="15" w:type="dxa"/>
            <w:right w:w="15" w:type="dxa"/>
          </w:tblCellMar>
        </w:tblPrEx>
        <w:trPr>
          <w:trHeight w:val="218" w:hRule="atLeast"/>
          <w:jc w:val="center"/>
        </w:trPr>
        <w:tc>
          <w:tcPr>
            <w:tcW w:w="3553" w:type="dxa"/>
            <w:gridSpan w:val="2"/>
            <w:tcBorders>
              <w:top w:val="single" w:color="000000" w:sz="4" w:space="0"/>
              <w:left w:val="single" w:color="auto" w:sz="12" w:space="0"/>
              <w:bottom w:val="single" w:color="auto" w:sz="12" w:space="0"/>
            </w:tcBorders>
            <w:vAlign w:val="center"/>
          </w:tcPr>
          <w:p>
            <w:pPr>
              <w:widowControl/>
              <w:spacing w:line="250" w:lineRule="exact"/>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年度最高支付限额（含个人负担部分）</w:t>
            </w:r>
          </w:p>
        </w:tc>
        <w:tc>
          <w:tcPr>
            <w:tcW w:w="1510" w:type="dxa"/>
            <w:tcBorders>
              <w:top w:val="single" w:color="000000" w:sz="4" w:space="0"/>
              <w:left w:val="single" w:color="000000" w:sz="4" w:space="0"/>
              <w:bottom w:val="single" w:color="auto" w:sz="12" w:space="0"/>
              <w:right w:val="single" w:color="auto" w:sz="12" w:space="0"/>
            </w:tcBorders>
            <w:vAlign w:val="center"/>
          </w:tcPr>
          <w:p>
            <w:pPr>
              <w:widowControl/>
              <w:spacing w:line="250" w:lineRule="exact"/>
              <w:ind w:firstLine="420" w:firstLineChars="200"/>
              <w:jc w:val="center"/>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800元/人</w:t>
            </w:r>
          </w:p>
        </w:tc>
      </w:tr>
    </w:tbl>
    <w:p>
      <w:pPr>
        <w:widowControl/>
        <w:spacing w:line="250" w:lineRule="exact"/>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说明：家庭签约参保人员在基层社区卫生服务中心、乡镇卫生院就诊时,在原有医保报销比例基础上提高五个百分点。</w:t>
      </w:r>
    </w:p>
    <w:p>
      <w:pPr>
        <w:widowControl/>
        <w:spacing w:line="250" w:lineRule="exact"/>
        <w:ind w:firstLine="413" w:firstLineChars="196"/>
        <w:jc w:val="left"/>
        <w:outlineLvl w:val="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（二）特殊病种门诊补偿待遇</w:t>
      </w:r>
    </w:p>
    <w:tbl>
      <w:tblPr>
        <w:tblStyle w:val="5"/>
        <w:tblW w:w="60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32"/>
        <w:gridCol w:w="806"/>
        <w:gridCol w:w="610"/>
        <w:gridCol w:w="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8" w:hRule="atLeast"/>
          <w:jc w:val="center"/>
        </w:trPr>
        <w:tc>
          <w:tcPr>
            <w:tcW w:w="3732" w:type="dxa"/>
            <w:tcBorders>
              <w:top w:val="single" w:color="auto" w:sz="12" w:space="0"/>
            </w:tcBorders>
            <w:vAlign w:val="center"/>
          </w:tcPr>
          <w:p>
            <w:pPr>
              <w:widowControl/>
              <w:spacing w:line="250" w:lineRule="exact"/>
              <w:jc w:val="center"/>
              <w:rPr>
                <w:rFonts w:cs="Times New Roman"/>
                <w:color w:val="auto"/>
                <w:highlight w:val="none"/>
              </w:rPr>
            </w:pPr>
            <w:r>
              <w:rPr>
                <w:rFonts w:hint="eastAsia" w:cs="宋体"/>
                <w:color w:val="auto"/>
                <w:highlight w:val="none"/>
              </w:rPr>
              <w:t>病种名称</w:t>
            </w:r>
          </w:p>
        </w:tc>
        <w:tc>
          <w:tcPr>
            <w:tcW w:w="806" w:type="dxa"/>
            <w:tcBorders>
              <w:top w:val="single" w:color="auto" w:sz="12" w:space="0"/>
            </w:tcBorders>
          </w:tcPr>
          <w:p>
            <w:pPr>
              <w:widowControl/>
              <w:spacing w:line="250" w:lineRule="exact"/>
              <w:jc w:val="center"/>
              <w:rPr>
                <w:rFonts w:cs="Times New Roman"/>
                <w:color w:val="auto"/>
                <w:highlight w:val="none"/>
              </w:rPr>
            </w:pPr>
            <w:r>
              <w:rPr>
                <w:rFonts w:hint="eastAsia" w:cs="宋体"/>
                <w:color w:val="auto"/>
                <w:highlight w:val="none"/>
              </w:rPr>
              <w:t>起付线（元）</w:t>
            </w:r>
          </w:p>
        </w:tc>
        <w:tc>
          <w:tcPr>
            <w:tcW w:w="610" w:type="dxa"/>
            <w:tcBorders>
              <w:top w:val="single" w:color="auto" w:sz="12" w:space="0"/>
            </w:tcBorders>
            <w:vAlign w:val="center"/>
          </w:tcPr>
          <w:p>
            <w:pPr>
              <w:widowControl/>
              <w:spacing w:line="250" w:lineRule="exact"/>
              <w:jc w:val="center"/>
              <w:rPr>
                <w:rFonts w:cs="Times New Roman"/>
                <w:color w:val="auto"/>
                <w:highlight w:val="none"/>
              </w:rPr>
            </w:pPr>
            <w:r>
              <w:rPr>
                <w:rFonts w:hint="eastAsia" w:cs="宋体"/>
                <w:color w:val="auto"/>
                <w:highlight w:val="none"/>
              </w:rPr>
              <w:t>支付比例</w:t>
            </w:r>
          </w:p>
        </w:tc>
        <w:tc>
          <w:tcPr>
            <w:tcW w:w="863" w:type="dxa"/>
            <w:tcBorders>
              <w:top w:val="single" w:color="auto" w:sz="12" w:space="0"/>
            </w:tcBorders>
            <w:vAlign w:val="center"/>
          </w:tcPr>
          <w:p>
            <w:pPr>
              <w:widowControl/>
              <w:spacing w:line="250" w:lineRule="exact"/>
              <w:jc w:val="center"/>
              <w:rPr>
                <w:rFonts w:cs="Times New Roman"/>
                <w:color w:val="auto"/>
                <w:highlight w:val="none"/>
              </w:rPr>
            </w:pPr>
            <w:r>
              <w:rPr>
                <w:rFonts w:hint="eastAsia" w:cs="宋体"/>
                <w:color w:val="auto"/>
                <w:highlight w:val="none"/>
              </w:rPr>
              <w:t>年度最高支付限额（元）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5" w:hRule="atLeast"/>
          <w:jc w:val="center"/>
        </w:trPr>
        <w:tc>
          <w:tcPr>
            <w:tcW w:w="3732" w:type="dxa"/>
            <w:vAlign w:val="center"/>
          </w:tcPr>
          <w:p>
            <w:pPr>
              <w:widowControl/>
              <w:spacing w:line="250" w:lineRule="exact"/>
              <w:jc w:val="left"/>
              <w:rPr>
                <w:rFonts w:cs="Times New Roman"/>
                <w:color w:val="auto"/>
                <w:highlight w:val="none"/>
              </w:rPr>
            </w:pPr>
            <w:r>
              <w:rPr>
                <w:rFonts w:hint="eastAsia" w:cs="宋体"/>
                <w:color w:val="auto"/>
                <w:highlight w:val="none"/>
              </w:rPr>
              <w:t>恶性肿瘤门诊化疗和放疗、器官移植抗排斥反应治疗、血友病、再生障碍性贫血、系统性红斑狼疮、重症尿毒症门诊透析治疗、重症肌无力、新冠肺炎岀院患者门诊康复治疗、儿童康复治疗</w:t>
            </w:r>
          </w:p>
        </w:tc>
        <w:tc>
          <w:tcPr>
            <w:tcW w:w="806" w:type="dxa"/>
            <w:vMerge w:val="restart"/>
            <w:vAlign w:val="center"/>
          </w:tcPr>
          <w:p>
            <w:pPr>
              <w:spacing w:line="250" w:lineRule="exact"/>
              <w:jc w:val="center"/>
              <w:rPr>
                <w:color w:val="auto"/>
                <w:highlight w:val="none"/>
              </w:rPr>
            </w:pPr>
            <w:r>
              <w:rPr>
                <w:color w:val="auto"/>
                <w:highlight w:val="none"/>
              </w:rPr>
              <w:t>400</w:t>
            </w:r>
          </w:p>
          <w:p>
            <w:pPr>
              <w:spacing w:line="250" w:lineRule="exact"/>
              <w:jc w:val="center"/>
              <w:rPr>
                <w:color w:val="auto"/>
                <w:highlight w:val="none"/>
              </w:rPr>
            </w:pPr>
          </w:p>
          <w:p>
            <w:pPr>
              <w:spacing w:line="250" w:lineRule="exact"/>
              <w:ind w:firstLine="105" w:firstLineChars="50"/>
              <w:jc w:val="center"/>
              <w:rPr>
                <w:rFonts w:cs="Times New Roman"/>
                <w:color w:val="auto"/>
                <w:highlight w:val="none"/>
              </w:rPr>
            </w:pPr>
            <w:r>
              <w:rPr>
                <w:rFonts w:hint="eastAsia" w:cs="宋体"/>
                <w:color w:val="auto"/>
                <w:highlight w:val="none"/>
              </w:rPr>
              <w:t>（社区卫生服务中心及乡镇卫生院除外）</w:t>
            </w:r>
          </w:p>
        </w:tc>
        <w:tc>
          <w:tcPr>
            <w:tcW w:w="610" w:type="dxa"/>
            <w:vMerge w:val="restart"/>
            <w:vAlign w:val="center"/>
          </w:tcPr>
          <w:p>
            <w:pPr>
              <w:widowControl/>
              <w:spacing w:line="250" w:lineRule="exact"/>
              <w:jc w:val="center"/>
              <w:rPr>
                <w:color w:val="auto"/>
                <w:highlight w:val="none"/>
              </w:rPr>
            </w:pPr>
            <w:r>
              <w:rPr>
                <w:color w:val="auto"/>
                <w:highlight w:val="none"/>
              </w:rPr>
              <w:t>60%</w:t>
            </w:r>
          </w:p>
        </w:tc>
        <w:tc>
          <w:tcPr>
            <w:tcW w:w="863" w:type="dxa"/>
            <w:vAlign w:val="center"/>
          </w:tcPr>
          <w:p>
            <w:pPr>
              <w:widowControl/>
              <w:spacing w:line="250" w:lineRule="exact"/>
              <w:rPr>
                <w:color w:val="auto"/>
                <w:highlight w:val="none"/>
              </w:rPr>
            </w:pPr>
            <w:r>
              <w:rPr>
                <w:color w:val="auto"/>
                <w:highlight w:val="none"/>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7" w:hRule="atLeast"/>
          <w:jc w:val="center"/>
        </w:trPr>
        <w:tc>
          <w:tcPr>
            <w:tcW w:w="3732" w:type="dxa"/>
            <w:vAlign w:val="center"/>
          </w:tcPr>
          <w:p>
            <w:pPr>
              <w:widowControl/>
              <w:spacing w:line="250" w:lineRule="exact"/>
              <w:jc w:val="left"/>
              <w:rPr>
                <w:rFonts w:cs="Times New Roman"/>
                <w:color w:val="auto"/>
                <w:highlight w:val="none"/>
              </w:rPr>
            </w:pPr>
            <w:r>
              <w:rPr>
                <w:rFonts w:hint="eastAsia" w:cs="宋体"/>
                <w:color w:val="auto"/>
                <w:highlight w:val="none"/>
              </w:rPr>
              <w:t>苯丙酮尿症</w:t>
            </w:r>
          </w:p>
        </w:tc>
        <w:tc>
          <w:tcPr>
            <w:tcW w:w="806" w:type="dxa"/>
            <w:vMerge w:val="continue"/>
          </w:tcPr>
          <w:p>
            <w:pPr>
              <w:spacing w:line="250" w:lineRule="exact"/>
              <w:ind w:firstLine="105" w:firstLineChars="50"/>
              <w:jc w:val="left"/>
              <w:rPr>
                <w:rFonts w:cs="Times New Roman"/>
                <w:color w:val="auto"/>
                <w:highlight w:val="none"/>
              </w:rPr>
            </w:pPr>
          </w:p>
        </w:tc>
        <w:tc>
          <w:tcPr>
            <w:tcW w:w="610" w:type="dxa"/>
            <w:vMerge w:val="continue"/>
            <w:vAlign w:val="center"/>
          </w:tcPr>
          <w:p>
            <w:pPr>
              <w:widowControl/>
              <w:spacing w:line="250" w:lineRule="exact"/>
              <w:jc w:val="left"/>
              <w:rPr>
                <w:rFonts w:cs="Times New Roman"/>
                <w:color w:val="auto"/>
                <w:highlight w:val="none"/>
              </w:rPr>
            </w:pPr>
          </w:p>
        </w:tc>
        <w:tc>
          <w:tcPr>
            <w:tcW w:w="863" w:type="dxa"/>
            <w:vAlign w:val="center"/>
          </w:tcPr>
          <w:p>
            <w:pPr>
              <w:widowControl/>
              <w:spacing w:line="250" w:lineRule="exact"/>
              <w:jc w:val="center"/>
              <w:rPr>
                <w:rFonts w:cs="Times New Roman"/>
                <w:color w:val="auto"/>
                <w:highlight w:val="none"/>
              </w:rPr>
            </w:pPr>
            <w:r>
              <w:rPr>
                <w:color w:val="auto"/>
                <w:highlight w:val="none"/>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0" w:hRule="atLeast"/>
          <w:jc w:val="center"/>
        </w:trPr>
        <w:tc>
          <w:tcPr>
            <w:tcW w:w="3732" w:type="dxa"/>
            <w:vAlign w:val="center"/>
          </w:tcPr>
          <w:p>
            <w:pPr>
              <w:widowControl/>
              <w:spacing w:line="250" w:lineRule="exact"/>
              <w:jc w:val="left"/>
              <w:rPr>
                <w:rFonts w:cs="宋体"/>
                <w:color w:val="auto"/>
                <w:highlight w:val="none"/>
              </w:rPr>
            </w:pPr>
            <w:r>
              <w:rPr>
                <w:rFonts w:hint="eastAsia" w:cs="宋体"/>
                <w:color w:val="auto"/>
                <w:highlight w:val="none"/>
              </w:rPr>
              <w:t>地中海贫血</w:t>
            </w:r>
          </w:p>
        </w:tc>
        <w:tc>
          <w:tcPr>
            <w:tcW w:w="806" w:type="dxa"/>
            <w:vMerge w:val="continue"/>
          </w:tcPr>
          <w:p>
            <w:pPr>
              <w:spacing w:line="250" w:lineRule="exact"/>
              <w:jc w:val="left"/>
              <w:rPr>
                <w:rFonts w:cs="Times New Roman"/>
                <w:color w:val="auto"/>
                <w:highlight w:val="none"/>
              </w:rPr>
            </w:pPr>
          </w:p>
        </w:tc>
        <w:tc>
          <w:tcPr>
            <w:tcW w:w="610" w:type="dxa"/>
            <w:vMerge w:val="continue"/>
            <w:vAlign w:val="center"/>
          </w:tcPr>
          <w:p>
            <w:pPr>
              <w:widowControl/>
              <w:spacing w:line="250" w:lineRule="exact"/>
              <w:jc w:val="left"/>
              <w:rPr>
                <w:rFonts w:cs="Times New Roman"/>
                <w:color w:val="auto"/>
                <w:highlight w:val="none"/>
              </w:rPr>
            </w:pPr>
          </w:p>
        </w:tc>
        <w:tc>
          <w:tcPr>
            <w:tcW w:w="863" w:type="dxa"/>
            <w:vAlign w:val="center"/>
          </w:tcPr>
          <w:p>
            <w:pPr>
              <w:widowControl/>
              <w:spacing w:line="250" w:lineRule="exact"/>
              <w:jc w:val="center"/>
              <w:rPr>
                <w:color w:val="auto"/>
                <w:highlight w:val="none"/>
              </w:rPr>
            </w:pPr>
            <w:r>
              <w:rPr>
                <w:rFonts w:hint="eastAsia"/>
                <w:color w:val="auto"/>
                <w:highlight w:val="none"/>
              </w:rPr>
              <w:t>15000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0" w:hRule="atLeast"/>
          <w:jc w:val="center"/>
        </w:trPr>
        <w:tc>
          <w:tcPr>
            <w:tcW w:w="3732" w:type="dxa"/>
            <w:vAlign w:val="center"/>
          </w:tcPr>
          <w:p>
            <w:pPr>
              <w:widowControl/>
              <w:spacing w:line="250" w:lineRule="exact"/>
              <w:jc w:val="left"/>
              <w:rPr>
                <w:rFonts w:cs="宋体"/>
                <w:color w:val="auto"/>
                <w:highlight w:val="none"/>
              </w:rPr>
            </w:pPr>
            <w:r>
              <w:rPr>
                <w:rFonts w:hint="eastAsia" w:cs="宋体"/>
                <w:color w:val="auto"/>
                <w:highlight w:val="none"/>
              </w:rPr>
              <w:t>白内障门诊手术治疗、门诊危重病抢救</w:t>
            </w:r>
          </w:p>
        </w:tc>
        <w:tc>
          <w:tcPr>
            <w:tcW w:w="806" w:type="dxa"/>
            <w:vMerge w:val="continue"/>
          </w:tcPr>
          <w:p>
            <w:pPr>
              <w:spacing w:line="250" w:lineRule="exact"/>
              <w:jc w:val="left"/>
              <w:rPr>
                <w:rFonts w:cs="Times New Roman"/>
                <w:color w:val="auto"/>
                <w:highlight w:val="none"/>
              </w:rPr>
            </w:pPr>
          </w:p>
        </w:tc>
        <w:tc>
          <w:tcPr>
            <w:tcW w:w="610" w:type="dxa"/>
            <w:vMerge w:val="continue"/>
            <w:vAlign w:val="center"/>
          </w:tcPr>
          <w:p>
            <w:pPr>
              <w:widowControl/>
              <w:spacing w:line="250" w:lineRule="exact"/>
              <w:jc w:val="left"/>
              <w:rPr>
                <w:rFonts w:cs="Times New Roman"/>
                <w:color w:val="auto"/>
                <w:highlight w:val="none"/>
              </w:rPr>
            </w:pPr>
          </w:p>
        </w:tc>
        <w:tc>
          <w:tcPr>
            <w:tcW w:w="863" w:type="dxa"/>
            <w:vAlign w:val="center"/>
          </w:tcPr>
          <w:p>
            <w:pPr>
              <w:widowControl/>
              <w:spacing w:line="250" w:lineRule="exact"/>
              <w:jc w:val="center"/>
              <w:rPr>
                <w:color w:val="auto"/>
                <w:highlight w:val="none"/>
              </w:rPr>
            </w:pPr>
            <w:r>
              <w:rPr>
                <w:color w:val="auto"/>
                <w:highlight w:val="none"/>
              </w:rPr>
              <w:t>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0" w:hRule="atLeast"/>
          <w:jc w:val="center"/>
        </w:trPr>
        <w:tc>
          <w:tcPr>
            <w:tcW w:w="3732" w:type="dxa"/>
            <w:vAlign w:val="center"/>
          </w:tcPr>
          <w:p>
            <w:pPr>
              <w:widowControl/>
              <w:spacing w:line="250" w:lineRule="exact"/>
              <w:jc w:val="left"/>
              <w:rPr>
                <w:rFonts w:cs="Times New Roman"/>
                <w:color w:val="auto"/>
                <w:highlight w:val="none"/>
              </w:rPr>
            </w:pPr>
            <w:r>
              <w:rPr>
                <w:rFonts w:hint="eastAsia" w:cs="宋体"/>
                <w:color w:val="auto"/>
                <w:highlight w:val="none"/>
              </w:rPr>
              <w:t>重性精神病、慢性心功能衰竭、肝硬化（失代偿期）、脑卒中及后遗症、精神分裂症、慢性阻塞性肺疾病（含慢性支气管炎）、尘肺病、甲状腺功能亢进、冠状动脉粥样硬化性心脏病、学生意外伤害</w:t>
            </w:r>
          </w:p>
        </w:tc>
        <w:tc>
          <w:tcPr>
            <w:tcW w:w="806" w:type="dxa"/>
            <w:vMerge w:val="continue"/>
          </w:tcPr>
          <w:p>
            <w:pPr>
              <w:spacing w:line="250" w:lineRule="exact"/>
              <w:jc w:val="left"/>
              <w:rPr>
                <w:rFonts w:cs="Times New Roman"/>
                <w:color w:val="auto"/>
                <w:highlight w:val="none"/>
              </w:rPr>
            </w:pPr>
          </w:p>
        </w:tc>
        <w:tc>
          <w:tcPr>
            <w:tcW w:w="610" w:type="dxa"/>
            <w:vMerge w:val="continue"/>
            <w:vAlign w:val="center"/>
          </w:tcPr>
          <w:p>
            <w:pPr>
              <w:widowControl/>
              <w:spacing w:line="250" w:lineRule="exact"/>
              <w:jc w:val="left"/>
              <w:rPr>
                <w:rFonts w:cs="Times New Roman"/>
                <w:color w:val="auto"/>
                <w:highlight w:val="none"/>
              </w:rPr>
            </w:pPr>
          </w:p>
        </w:tc>
        <w:tc>
          <w:tcPr>
            <w:tcW w:w="863" w:type="dxa"/>
            <w:vAlign w:val="center"/>
          </w:tcPr>
          <w:p>
            <w:pPr>
              <w:widowControl/>
              <w:spacing w:line="250" w:lineRule="exact"/>
              <w:jc w:val="center"/>
              <w:rPr>
                <w:color w:val="auto"/>
                <w:highlight w:val="none"/>
              </w:rPr>
            </w:pPr>
            <w:r>
              <w:rPr>
                <w:color w:val="auto"/>
                <w:highlight w:val="none"/>
              </w:rPr>
              <w:t>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4" w:hRule="atLeast"/>
          <w:jc w:val="center"/>
        </w:trPr>
        <w:tc>
          <w:tcPr>
            <w:tcW w:w="3732" w:type="dxa"/>
            <w:vAlign w:val="center"/>
          </w:tcPr>
          <w:p>
            <w:pPr>
              <w:widowControl/>
              <w:spacing w:line="250" w:lineRule="exact"/>
              <w:jc w:val="left"/>
              <w:rPr>
                <w:rFonts w:cs="Times New Roman"/>
                <w:color w:val="auto"/>
                <w:highlight w:val="none"/>
              </w:rPr>
            </w:pPr>
            <w:r>
              <w:rPr>
                <w:rFonts w:hint="eastAsia" w:cs="宋体"/>
                <w:color w:val="auto"/>
                <w:highlight w:val="none"/>
              </w:rPr>
              <w:t>高血压病、糖尿病、癫痫病、类风湿关节炎、慢性肾炎、帕金森病</w:t>
            </w:r>
          </w:p>
        </w:tc>
        <w:tc>
          <w:tcPr>
            <w:tcW w:w="806" w:type="dxa"/>
            <w:vMerge w:val="continue"/>
          </w:tcPr>
          <w:p>
            <w:pPr>
              <w:widowControl/>
              <w:spacing w:line="250" w:lineRule="exact"/>
              <w:jc w:val="left"/>
              <w:rPr>
                <w:rFonts w:cs="Times New Roman"/>
                <w:color w:val="auto"/>
                <w:highlight w:val="none"/>
              </w:rPr>
            </w:pPr>
          </w:p>
        </w:tc>
        <w:tc>
          <w:tcPr>
            <w:tcW w:w="610" w:type="dxa"/>
            <w:vMerge w:val="continue"/>
            <w:vAlign w:val="center"/>
          </w:tcPr>
          <w:p>
            <w:pPr>
              <w:widowControl/>
              <w:spacing w:line="250" w:lineRule="exact"/>
              <w:jc w:val="left"/>
              <w:rPr>
                <w:rFonts w:cs="Times New Roman"/>
                <w:color w:val="auto"/>
                <w:highlight w:val="none"/>
              </w:rPr>
            </w:pPr>
          </w:p>
        </w:tc>
        <w:tc>
          <w:tcPr>
            <w:tcW w:w="863" w:type="dxa"/>
            <w:vAlign w:val="center"/>
          </w:tcPr>
          <w:p>
            <w:pPr>
              <w:widowControl/>
              <w:spacing w:line="250" w:lineRule="exact"/>
              <w:jc w:val="center"/>
              <w:rPr>
                <w:color w:val="auto"/>
                <w:highlight w:val="none"/>
              </w:rPr>
            </w:pPr>
            <w:r>
              <w:rPr>
                <w:color w:val="auto"/>
                <w:highlight w:val="none"/>
              </w:rPr>
              <w:t>4000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3732" w:type="dxa"/>
            <w:vAlign w:val="center"/>
          </w:tcPr>
          <w:p>
            <w:pPr>
              <w:widowControl/>
              <w:spacing w:line="250" w:lineRule="exact"/>
              <w:jc w:val="left"/>
              <w:rPr>
                <w:rFonts w:cs="Times New Roman"/>
                <w:color w:val="auto"/>
                <w:highlight w:val="none"/>
              </w:rPr>
            </w:pPr>
            <w:r>
              <w:rPr>
                <w:rFonts w:hint="eastAsia" w:cs="宋体"/>
                <w:color w:val="auto"/>
                <w:highlight w:val="none"/>
              </w:rPr>
              <w:t>结核病规范治疗、支气管哮喘、儿童先天性心脏病、强直性脊柱炎、抑郁症、慢性病毒性肝炎（乙型、丙型活动期）</w:t>
            </w:r>
          </w:p>
        </w:tc>
        <w:tc>
          <w:tcPr>
            <w:tcW w:w="806" w:type="dxa"/>
            <w:vMerge w:val="continue"/>
          </w:tcPr>
          <w:p>
            <w:pPr>
              <w:widowControl/>
              <w:spacing w:line="250" w:lineRule="exact"/>
              <w:jc w:val="left"/>
              <w:rPr>
                <w:rFonts w:cs="Times New Roman"/>
                <w:color w:val="auto"/>
                <w:highlight w:val="none"/>
              </w:rPr>
            </w:pPr>
          </w:p>
        </w:tc>
        <w:tc>
          <w:tcPr>
            <w:tcW w:w="610" w:type="dxa"/>
            <w:vMerge w:val="continue"/>
            <w:vAlign w:val="center"/>
          </w:tcPr>
          <w:p>
            <w:pPr>
              <w:widowControl/>
              <w:spacing w:line="250" w:lineRule="exact"/>
              <w:jc w:val="left"/>
              <w:rPr>
                <w:rFonts w:cs="Times New Roman"/>
                <w:color w:val="auto"/>
                <w:highlight w:val="none"/>
              </w:rPr>
            </w:pPr>
          </w:p>
        </w:tc>
        <w:tc>
          <w:tcPr>
            <w:tcW w:w="863" w:type="dxa"/>
            <w:vAlign w:val="center"/>
          </w:tcPr>
          <w:p>
            <w:pPr>
              <w:widowControl/>
              <w:spacing w:line="250" w:lineRule="exact"/>
              <w:jc w:val="center"/>
              <w:rPr>
                <w:color w:val="auto"/>
                <w:highlight w:val="none"/>
              </w:rPr>
            </w:pPr>
            <w:r>
              <w:rPr>
                <w:color w:val="auto"/>
                <w:highlight w:val="none"/>
              </w:rPr>
              <w:t>2000</w:t>
            </w:r>
          </w:p>
        </w:tc>
      </w:tr>
    </w:tbl>
    <w:p>
      <w:pPr>
        <w:widowControl/>
        <w:spacing w:line="250" w:lineRule="exact"/>
        <w:jc w:val="left"/>
        <w:outlineLvl w:val="0"/>
        <w:rPr>
          <w:rFonts w:cs="宋体"/>
          <w:color w:val="auto"/>
          <w:highlight w:val="none"/>
        </w:rPr>
      </w:pPr>
    </w:p>
    <w:p>
      <w:pPr>
        <w:widowControl/>
        <w:spacing w:line="250" w:lineRule="exact"/>
        <w:ind w:firstLine="210" w:firstLineChars="100"/>
        <w:jc w:val="left"/>
        <w:outlineLvl w:val="0"/>
        <w:rPr>
          <w:rFonts w:cs="宋体"/>
          <w:color w:val="auto"/>
          <w:highlight w:val="none"/>
        </w:rPr>
      </w:pPr>
      <w:r>
        <w:rPr>
          <w:rFonts w:hint="eastAsia" w:cs="宋体"/>
          <w:color w:val="auto"/>
          <w:highlight w:val="none"/>
        </w:rPr>
        <w:t>说明: 1. 家庭签约参保人员在签约的基层社区卫生服务中心、乡镇卫生院就诊时</w:t>
      </w:r>
      <w:r>
        <w:rPr>
          <w:color w:val="auto"/>
          <w:highlight w:val="none"/>
        </w:rPr>
        <w:t>,</w:t>
      </w:r>
      <w:r>
        <w:rPr>
          <w:rFonts w:hint="eastAsia" w:cs="宋体"/>
          <w:color w:val="auto"/>
          <w:highlight w:val="none"/>
        </w:rPr>
        <w:t>在原有医保报销比例基础上提高五个百分点。</w:t>
      </w:r>
    </w:p>
    <w:p>
      <w:pPr>
        <w:pStyle w:val="3"/>
        <w:rPr>
          <w:rFonts w:ascii="Calibri" w:hAnsi="Calibri" w:cs="宋体"/>
          <w:color w:val="auto"/>
          <w:sz w:val="21"/>
          <w:szCs w:val="21"/>
          <w:highlight w:val="none"/>
        </w:rPr>
      </w:pPr>
      <w:r>
        <w:rPr>
          <w:rFonts w:hint="eastAsia" w:ascii="Calibri" w:hAnsi="Calibri" w:cs="宋体"/>
          <w:color w:val="auto"/>
          <w:sz w:val="21"/>
          <w:szCs w:val="21"/>
          <w:highlight w:val="none"/>
        </w:rPr>
        <w:t>2. 抑郁症设置两年过渡期，2025年3月1日后自动取消。</w:t>
      </w:r>
    </w:p>
    <w:p>
      <w:pPr>
        <w:widowControl/>
        <w:spacing w:line="250" w:lineRule="exact"/>
        <w:ind w:firstLine="420" w:firstLineChars="200"/>
        <w:jc w:val="left"/>
        <w:outlineLvl w:val="0"/>
        <w:rPr>
          <w:color w:val="auto"/>
          <w:highlight w:val="none"/>
        </w:rPr>
      </w:pPr>
      <w:r>
        <w:rPr>
          <w:rFonts w:hint="eastAsia"/>
          <w:color w:val="auto"/>
          <w:highlight w:val="none"/>
        </w:rPr>
        <w:t>3. “学生意外伤害”包括中小学生（含托儿所、幼儿园的儿童，不含大学生）在校期间因突发的、外来的、非本人意愿的意外事故造成的非疾病伤害或伤残，依法应由特定责任人承担的除外。</w:t>
      </w:r>
    </w:p>
    <w:p>
      <w:pPr>
        <w:pStyle w:val="3"/>
        <w:rPr>
          <w:rFonts w:ascii="Calibri" w:hAnsi="Calibri" w:cs="宋体"/>
          <w:color w:val="auto"/>
          <w:sz w:val="21"/>
          <w:szCs w:val="21"/>
          <w:highlight w:val="none"/>
        </w:rPr>
      </w:pPr>
      <w:r>
        <w:rPr>
          <w:rFonts w:hint="eastAsia" w:ascii="Calibri" w:hAnsi="Calibri" w:cs="宋体"/>
          <w:color w:val="auto"/>
          <w:sz w:val="21"/>
          <w:szCs w:val="21"/>
          <w:highlight w:val="none"/>
        </w:rPr>
        <w:t>4. “儿童康复治疗”包括儿童性瘫痪、孤独症、发育迟缓、智力障碍、听力障碍或运动障碍等。</w:t>
      </w:r>
    </w:p>
    <w:p>
      <w:pPr>
        <w:rPr>
          <w:color w:val="auto"/>
          <w:highlight w:val="none"/>
        </w:rPr>
      </w:pPr>
      <w:r>
        <w:rPr>
          <w:rFonts w:hint="eastAsia" w:cs="宋体"/>
          <w:color w:val="auto"/>
          <w:highlight w:val="none"/>
        </w:rPr>
        <w:t xml:space="preserve">    5. “尘肺病”限“已经诊断为尘肺病，但没有参加工伤保险且相关用人单位已不存在，以及因缺少职业病诊断所需资料、仅诊断为尘肺病的患者”。</w:t>
      </w:r>
    </w:p>
    <w:p>
      <w:pPr>
        <w:widowControl/>
        <w:spacing w:line="250" w:lineRule="exact"/>
        <w:jc w:val="left"/>
        <w:outlineLvl w:val="0"/>
        <w:rPr>
          <w:rFonts w:asciiTheme="minorEastAsia" w:hAnsiTheme="minorEastAsia" w:eastAsiaTheme="minorEastAsia" w:cstheme="minorEastAsia"/>
          <w:color w:val="auto"/>
          <w:highlight w:val="none"/>
        </w:rPr>
      </w:pPr>
    </w:p>
    <w:p>
      <w:pPr>
        <w:pStyle w:val="7"/>
        <w:numPr>
          <w:ilvl w:val="0"/>
          <w:numId w:val="2"/>
        </w:numPr>
        <w:spacing w:line="290" w:lineRule="exact"/>
        <w:ind w:left="408"/>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住院补偿待遇</w:t>
      </w:r>
    </w:p>
    <w:p>
      <w:pPr>
        <w:pStyle w:val="7"/>
        <w:numPr>
          <w:ilvl w:val="0"/>
          <w:numId w:val="3"/>
        </w:numPr>
        <w:spacing w:line="290" w:lineRule="exact"/>
        <w:rPr>
          <w:rFonts w:ascii="宋体" w:hAnsi="宋体" w:cs="宋体"/>
          <w:color w:val="auto"/>
          <w:kern w:val="0"/>
          <w:highlight w:val="none"/>
        </w:rPr>
      </w:pPr>
      <w:r>
        <w:rPr>
          <w:rFonts w:hint="eastAsia" w:ascii="宋体" w:hAnsi="宋体" w:cs="宋体"/>
          <w:color w:val="auto"/>
          <w:kern w:val="0"/>
          <w:highlight w:val="none"/>
        </w:rPr>
        <w:t>按项目收费</w:t>
      </w:r>
    </w:p>
    <w:p>
      <w:pPr>
        <w:widowControl/>
        <w:spacing w:line="290" w:lineRule="exact"/>
        <w:ind w:firstLine="270" w:firstLineChars="150"/>
        <w:jc w:val="left"/>
        <w:outlineLvl w:val="0"/>
        <w:rPr>
          <w:rFonts w:cs="宋体"/>
          <w:color w:val="auto"/>
          <w:sz w:val="18"/>
          <w:szCs w:val="18"/>
          <w:highlight w:val="none"/>
        </w:rPr>
      </w:pPr>
    </w:p>
    <w:tbl>
      <w:tblPr>
        <w:tblStyle w:val="5"/>
        <w:tblW w:w="965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1162"/>
        <w:gridCol w:w="820"/>
        <w:gridCol w:w="1004"/>
        <w:gridCol w:w="2430"/>
        <w:gridCol w:w="106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3613" w:type="dxa"/>
            <w:gridSpan w:val="3"/>
            <w:vMerge w:val="restart"/>
            <w:tcBorders>
              <w:top w:val="single" w:color="auto" w:sz="12" w:space="0"/>
              <w:left w:val="single" w:color="auto" w:sz="12" w:space="0"/>
              <w:right w:val="single" w:color="auto" w:sz="12" w:space="0"/>
            </w:tcBorders>
            <w:vAlign w:val="center"/>
          </w:tcPr>
          <w:p>
            <w:pPr>
              <w:widowControl/>
              <w:spacing w:line="290" w:lineRule="exact"/>
              <w:ind w:firstLine="1680" w:firstLineChars="800"/>
              <w:jc w:val="left"/>
              <w:outlineLvl w:val="0"/>
              <w:rPr>
                <w:rFonts w:cs="Times New Roman"/>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10160</wp:posOffset>
                      </wp:positionV>
                      <wp:extent cx="2109470" cy="518795"/>
                      <wp:effectExtent l="1270" t="4445" r="3810" b="10160"/>
                      <wp:wrapNone/>
                      <wp:docPr id="2" name="自选图形 2"/>
                      <wp:cNvGraphicFramePr/>
                      <a:graphic xmlns:a="http://schemas.openxmlformats.org/drawingml/2006/main">
                        <a:graphicData uri="http://schemas.microsoft.com/office/word/2010/wordprocessingShape">
                          <wps:wsp>
                            <wps:cNvCnPr/>
                            <wps:spPr>
                              <a:xfrm>
                                <a:off x="0" y="0"/>
                                <a:ext cx="2109470" cy="51879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4.65pt;margin-top:0.8pt;height:40.85pt;width:166.1pt;z-index:251659264;mso-width-relative:margin;mso-height-relative:margin;" filled="f" stroked="t" coordsize="21600,21600" o:gfxdata="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gJDOdUAAAAHAQAA&#10;DwAAAAAAAAABACAAAAAiAAAAZHJzL2Rvd25yZXYueG1sUEsBAhQAFAAAAAgAh07iQBceFu/jAQAA&#10;qAMAAA4AAAAAAAAAAQAgAAAAJAEAAGRycy9lMm9Eb2MueG1sUEsFBgAAAAAGAAYAWQEAAHkFAAAA&#10;AA==&#10;">
                      <v:fill on="f" focussize="0,0"/>
                      <v:stroke color="#000000" joinstyle="round"/>
                      <v:imagedata o:title=""/>
                      <o:lock v:ext="edit" aspectratio="f"/>
                    </v:shape>
                  </w:pict>
                </mc:Fallback>
              </mc:AlternateContent>
            </w:r>
            <w:r>
              <w:rPr>
                <w:rFonts w:hint="eastAsia" w:cs="宋体"/>
                <w:color w:val="auto"/>
                <w:highlight w:val="none"/>
              </w:rPr>
              <w:t>机构级别</w:t>
            </w:r>
          </w:p>
          <w:p>
            <w:pPr>
              <w:widowControl/>
              <w:spacing w:line="290" w:lineRule="exact"/>
              <w:jc w:val="left"/>
              <w:outlineLvl w:val="0"/>
              <w:rPr>
                <w:rFonts w:cs="Times New Roman"/>
                <w:color w:val="auto"/>
                <w:highlight w:val="none"/>
              </w:rPr>
            </w:pPr>
            <w:r>
              <w:rPr>
                <w:rFonts w:hint="eastAsia" w:cs="宋体"/>
                <w:color w:val="auto"/>
                <w:highlight w:val="none"/>
              </w:rPr>
              <w:t>报销政策</w:t>
            </w:r>
          </w:p>
        </w:tc>
        <w:tc>
          <w:tcPr>
            <w:tcW w:w="1004" w:type="dxa"/>
            <w:tcBorders>
              <w:top w:val="single" w:color="auto" w:sz="12" w:space="0"/>
              <w:left w:val="single" w:color="auto" w:sz="12" w:space="0"/>
            </w:tcBorders>
            <w:vAlign w:val="center"/>
          </w:tcPr>
          <w:p>
            <w:pPr>
              <w:widowControl/>
              <w:spacing w:line="290" w:lineRule="exact"/>
              <w:jc w:val="center"/>
              <w:outlineLvl w:val="0"/>
              <w:rPr>
                <w:rFonts w:cs="宋体"/>
                <w:color w:val="auto"/>
                <w:highlight w:val="none"/>
              </w:rPr>
            </w:pPr>
            <w:r>
              <w:rPr>
                <w:rFonts w:hint="eastAsia" w:cs="宋体"/>
                <w:color w:val="auto"/>
                <w:highlight w:val="none"/>
              </w:rPr>
              <w:t>一</w:t>
            </w:r>
          </w:p>
        </w:tc>
        <w:tc>
          <w:tcPr>
            <w:tcW w:w="2430" w:type="dxa"/>
            <w:tcBorders>
              <w:top w:val="single" w:color="auto" w:sz="12" w:space="0"/>
            </w:tcBorders>
            <w:vAlign w:val="center"/>
          </w:tcPr>
          <w:p>
            <w:pPr>
              <w:widowControl/>
              <w:spacing w:line="290" w:lineRule="exact"/>
              <w:jc w:val="center"/>
              <w:outlineLvl w:val="0"/>
              <w:rPr>
                <w:rFonts w:cs="宋体"/>
                <w:color w:val="auto"/>
                <w:highlight w:val="none"/>
              </w:rPr>
            </w:pPr>
            <w:r>
              <w:rPr>
                <w:rFonts w:hint="eastAsia" w:cs="宋体"/>
                <w:color w:val="auto"/>
                <w:highlight w:val="none"/>
              </w:rPr>
              <w:t>二</w:t>
            </w:r>
          </w:p>
        </w:tc>
        <w:tc>
          <w:tcPr>
            <w:tcW w:w="1066" w:type="dxa"/>
            <w:tcBorders>
              <w:top w:val="single" w:color="auto" w:sz="12" w:space="0"/>
            </w:tcBorders>
            <w:vAlign w:val="center"/>
          </w:tcPr>
          <w:p>
            <w:pPr>
              <w:widowControl/>
              <w:spacing w:line="290" w:lineRule="exact"/>
              <w:ind w:firstLine="210" w:firstLineChars="100"/>
              <w:jc w:val="center"/>
              <w:outlineLvl w:val="0"/>
              <w:rPr>
                <w:rFonts w:cs="宋体"/>
                <w:color w:val="auto"/>
                <w:highlight w:val="none"/>
              </w:rPr>
            </w:pPr>
            <w:r>
              <w:rPr>
                <w:rFonts w:hint="eastAsia" w:cs="宋体"/>
                <w:color w:val="auto"/>
                <w:highlight w:val="none"/>
              </w:rPr>
              <w:t>三</w:t>
            </w:r>
          </w:p>
        </w:tc>
        <w:tc>
          <w:tcPr>
            <w:tcW w:w="1539" w:type="dxa"/>
            <w:tcBorders>
              <w:top w:val="single" w:color="auto" w:sz="12" w:space="0"/>
              <w:right w:val="single" w:color="auto" w:sz="12" w:space="0"/>
            </w:tcBorders>
            <w:vAlign w:val="center"/>
          </w:tcPr>
          <w:p>
            <w:pPr>
              <w:widowControl/>
              <w:spacing w:line="290" w:lineRule="exact"/>
              <w:jc w:val="center"/>
              <w:outlineLvl w:val="0"/>
              <w:rPr>
                <w:rFonts w:cs="宋体"/>
                <w:color w:val="auto"/>
                <w:highlight w:val="none"/>
              </w:rPr>
            </w:pPr>
            <w:r>
              <w:rPr>
                <w:rFonts w:hint="eastAsia" w:cs="宋体"/>
                <w:color w:val="auto"/>
                <w:highlight w:val="none"/>
              </w:rPr>
              <w:t>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8" w:hRule="atLeast"/>
          <w:jc w:val="center"/>
        </w:trPr>
        <w:tc>
          <w:tcPr>
            <w:tcW w:w="3613" w:type="dxa"/>
            <w:gridSpan w:val="3"/>
            <w:vMerge w:val="continue"/>
            <w:tcBorders>
              <w:left w:val="single" w:color="auto" w:sz="12" w:space="0"/>
              <w:right w:val="single" w:color="auto" w:sz="12" w:space="0"/>
            </w:tcBorders>
            <w:vAlign w:val="center"/>
          </w:tcPr>
          <w:p>
            <w:pPr>
              <w:widowControl/>
              <w:spacing w:line="290" w:lineRule="exact"/>
              <w:ind w:firstLine="420" w:firstLineChars="200"/>
              <w:jc w:val="left"/>
              <w:outlineLvl w:val="0"/>
              <w:rPr>
                <w:rFonts w:cs="Times New Roman"/>
                <w:color w:val="auto"/>
                <w:highlight w:val="none"/>
              </w:rPr>
            </w:pPr>
          </w:p>
        </w:tc>
        <w:tc>
          <w:tcPr>
            <w:tcW w:w="1004" w:type="dxa"/>
            <w:tcBorders>
              <w:left w:val="single" w:color="auto" w:sz="12" w:space="0"/>
              <w:bottom w:val="single" w:color="auto" w:sz="12" w:space="0"/>
            </w:tcBorders>
            <w:vAlign w:val="center"/>
          </w:tcPr>
          <w:p>
            <w:pPr>
              <w:spacing w:line="290" w:lineRule="exact"/>
              <w:jc w:val="center"/>
              <w:outlineLvl w:val="0"/>
              <w:rPr>
                <w:rFonts w:cs="宋体"/>
                <w:color w:val="auto"/>
                <w:highlight w:val="none"/>
              </w:rPr>
            </w:pPr>
            <w:r>
              <w:rPr>
                <w:rFonts w:hint="eastAsia" w:cs="宋体"/>
                <w:color w:val="auto"/>
                <w:highlight w:val="none"/>
              </w:rPr>
              <w:t>三甲</w:t>
            </w:r>
          </w:p>
        </w:tc>
        <w:tc>
          <w:tcPr>
            <w:tcW w:w="2430" w:type="dxa"/>
            <w:tcBorders>
              <w:bottom w:val="single" w:color="auto" w:sz="12" w:space="0"/>
            </w:tcBorders>
            <w:vAlign w:val="center"/>
          </w:tcPr>
          <w:p>
            <w:pPr>
              <w:spacing w:line="290" w:lineRule="exact"/>
              <w:jc w:val="center"/>
              <w:outlineLvl w:val="0"/>
              <w:rPr>
                <w:rFonts w:cs="宋体"/>
                <w:color w:val="auto"/>
                <w:highlight w:val="none"/>
              </w:rPr>
            </w:pPr>
            <w:r>
              <w:rPr>
                <w:rFonts w:hint="eastAsia" w:cs="宋体"/>
                <w:color w:val="auto"/>
                <w:highlight w:val="none"/>
              </w:rPr>
              <w:t>三乙（含专科三甲）</w:t>
            </w:r>
          </w:p>
        </w:tc>
        <w:tc>
          <w:tcPr>
            <w:tcW w:w="1066" w:type="dxa"/>
            <w:tcBorders>
              <w:bottom w:val="single" w:color="auto" w:sz="12" w:space="0"/>
            </w:tcBorders>
            <w:vAlign w:val="center"/>
          </w:tcPr>
          <w:p>
            <w:pPr>
              <w:spacing w:line="290" w:lineRule="exact"/>
              <w:ind w:firstLine="105" w:firstLineChars="50"/>
              <w:jc w:val="center"/>
              <w:outlineLvl w:val="0"/>
              <w:rPr>
                <w:rFonts w:cs="宋体"/>
                <w:color w:val="auto"/>
                <w:highlight w:val="none"/>
              </w:rPr>
            </w:pPr>
            <w:r>
              <w:rPr>
                <w:rFonts w:hint="eastAsia" w:cs="宋体"/>
                <w:color w:val="auto"/>
                <w:highlight w:val="none"/>
              </w:rPr>
              <w:t>二级</w:t>
            </w:r>
          </w:p>
        </w:tc>
        <w:tc>
          <w:tcPr>
            <w:tcW w:w="1539" w:type="dxa"/>
            <w:tcBorders>
              <w:bottom w:val="single" w:color="auto" w:sz="12" w:space="0"/>
              <w:right w:val="single" w:color="auto" w:sz="12" w:space="0"/>
            </w:tcBorders>
            <w:vAlign w:val="center"/>
          </w:tcPr>
          <w:p>
            <w:pPr>
              <w:spacing w:line="290" w:lineRule="exact"/>
              <w:jc w:val="center"/>
              <w:outlineLvl w:val="0"/>
              <w:rPr>
                <w:rFonts w:cs="宋体"/>
                <w:color w:val="auto"/>
                <w:highlight w:val="none"/>
              </w:rPr>
            </w:pPr>
            <w:r>
              <w:rPr>
                <w:rFonts w:hint="eastAsia" w:cs="宋体"/>
                <w:color w:val="auto"/>
                <w:highlight w:val="none"/>
              </w:rPr>
              <w:t>一级、社区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jc w:val="center"/>
        </w:trPr>
        <w:tc>
          <w:tcPr>
            <w:tcW w:w="1631" w:type="dxa"/>
            <w:vMerge w:val="restart"/>
            <w:tcBorders>
              <w:top w:val="single" w:color="auto" w:sz="12" w:space="0"/>
              <w:left w:val="single" w:color="auto" w:sz="12" w:space="0"/>
              <w:right w:val="single" w:color="auto" w:sz="12" w:space="0"/>
            </w:tcBorders>
            <w:vAlign w:val="center"/>
          </w:tcPr>
          <w:p>
            <w:pPr>
              <w:widowControl/>
              <w:spacing w:line="290" w:lineRule="exact"/>
              <w:jc w:val="center"/>
              <w:outlineLvl w:val="0"/>
              <w:rPr>
                <w:rFonts w:cs="Times New Roman"/>
                <w:color w:val="auto"/>
                <w:highlight w:val="none"/>
              </w:rPr>
            </w:pPr>
            <w:r>
              <w:rPr>
                <w:rFonts w:hint="eastAsia" w:cs="宋体"/>
                <w:color w:val="auto"/>
                <w:highlight w:val="none"/>
              </w:rPr>
              <w:t>最高支付限额（含个人负担</w:t>
            </w:r>
            <w:r>
              <w:rPr>
                <w:rFonts w:hint="eastAsia" w:cs="宋体"/>
                <w:color w:val="auto"/>
                <w:highlight w:val="none"/>
                <w:lang w:eastAsia="zh-CN"/>
              </w:rPr>
              <w:t>部</w:t>
            </w:r>
            <w:r>
              <w:rPr>
                <w:rFonts w:hint="eastAsia" w:cs="宋体"/>
                <w:color w:val="auto"/>
                <w:highlight w:val="none"/>
              </w:rPr>
              <w:t>分）</w:t>
            </w:r>
            <w:r>
              <w:rPr>
                <w:color w:val="auto"/>
                <w:highlight w:val="none"/>
              </w:rPr>
              <w:t>12</w:t>
            </w:r>
            <w:r>
              <w:rPr>
                <w:rFonts w:hint="eastAsia" w:cs="宋体"/>
                <w:color w:val="auto"/>
                <w:highlight w:val="none"/>
              </w:rPr>
              <w:t>万元</w:t>
            </w:r>
          </w:p>
        </w:tc>
        <w:tc>
          <w:tcPr>
            <w:tcW w:w="1162" w:type="dxa"/>
            <w:vMerge w:val="restart"/>
            <w:tcBorders>
              <w:top w:val="single" w:color="auto" w:sz="12" w:space="0"/>
              <w:left w:val="single" w:color="auto" w:sz="12" w:space="0"/>
              <w:right w:val="single" w:color="auto" w:sz="12" w:space="0"/>
            </w:tcBorders>
            <w:vAlign w:val="center"/>
          </w:tcPr>
          <w:p>
            <w:pPr>
              <w:widowControl/>
              <w:spacing w:line="290" w:lineRule="exact"/>
              <w:jc w:val="left"/>
              <w:outlineLvl w:val="0"/>
              <w:rPr>
                <w:rFonts w:cs="Times New Roman"/>
                <w:color w:val="auto"/>
                <w:highlight w:val="none"/>
              </w:rPr>
            </w:pPr>
            <w:r>
              <w:rPr>
                <w:rFonts w:hint="eastAsia" w:cs="宋体"/>
                <w:color w:val="auto"/>
                <w:highlight w:val="none"/>
              </w:rPr>
              <w:t>起付线（元）</w:t>
            </w:r>
          </w:p>
        </w:tc>
        <w:tc>
          <w:tcPr>
            <w:tcW w:w="820" w:type="dxa"/>
            <w:tcBorders>
              <w:top w:val="single" w:color="auto" w:sz="12" w:space="0"/>
              <w:left w:val="single" w:color="auto" w:sz="12" w:space="0"/>
              <w:bottom w:val="single" w:color="auto" w:sz="12" w:space="0"/>
              <w:right w:val="single" w:color="auto" w:sz="12" w:space="0"/>
            </w:tcBorders>
            <w:vAlign w:val="center"/>
          </w:tcPr>
          <w:p>
            <w:pPr>
              <w:widowControl/>
              <w:spacing w:line="290" w:lineRule="exact"/>
              <w:jc w:val="left"/>
              <w:outlineLvl w:val="0"/>
              <w:rPr>
                <w:rFonts w:cs="Times New Roman"/>
                <w:color w:val="auto"/>
                <w:highlight w:val="none"/>
              </w:rPr>
            </w:pPr>
            <w:r>
              <w:rPr>
                <w:rFonts w:hint="eastAsia" w:cs="Times New Roman"/>
                <w:color w:val="auto"/>
                <w:highlight w:val="none"/>
              </w:rPr>
              <w:t>市内</w:t>
            </w:r>
          </w:p>
        </w:tc>
        <w:tc>
          <w:tcPr>
            <w:tcW w:w="1004" w:type="dxa"/>
            <w:tcBorders>
              <w:top w:val="single" w:color="auto" w:sz="12" w:space="0"/>
              <w:left w:val="single" w:color="auto" w:sz="12" w:space="0"/>
              <w:bottom w:val="single" w:color="auto" w:sz="12" w:space="0"/>
            </w:tcBorders>
            <w:vAlign w:val="center"/>
          </w:tcPr>
          <w:p>
            <w:pPr>
              <w:widowControl/>
              <w:spacing w:line="290" w:lineRule="exact"/>
              <w:jc w:val="center"/>
              <w:outlineLvl w:val="0"/>
              <w:rPr>
                <w:color w:val="auto"/>
                <w:highlight w:val="none"/>
              </w:rPr>
            </w:pPr>
            <w:r>
              <w:rPr>
                <w:color w:val="auto"/>
                <w:highlight w:val="none"/>
              </w:rPr>
              <w:t>800</w:t>
            </w:r>
          </w:p>
        </w:tc>
        <w:tc>
          <w:tcPr>
            <w:tcW w:w="2430" w:type="dxa"/>
            <w:tcBorders>
              <w:top w:val="single" w:color="auto" w:sz="12" w:space="0"/>
              <w:bottom w:val="single" w:color="auto" w:sz="12" w:space="0"/>
            </w:tcBorders>
            <w:vAlign w:val="center"/>
          </w:tcPr>
          <w:p>
            <w:pPr>
              <w:widowControl/>
              <w:spacing w:line="290" w:lineRule="exact"/>
              <w:jc w:val="center"/>
              <w:outlineLvl w:val="0"/>
              <w:rPr>
                <w:color w:val="auto"/>
                <w:highlight w:val="none"/>
              </w:rPr>
            </w:pPr>
            <w:r>
              <w:rPr>
                <w:color w:val="auto"/>
                <w:highlight w:val="none"/>
              </w:rPr>
              <w:t>400</w:t>
            </w:r>
          </w:p>
        </w:tc>
        <w:tc>
          <w:tcPr>
            <w:tcW w:w="1066" w:type="dxa"/>
            <w:tcBorders>
              <w:top w:val="single" w:color="auto" w:sz="12" w:space="0"/>
              <w:bottom w:val="single" w:color="auto" w:sz="12" w:space="0"/>
            </w:tcBorders>
            <w:vAlign w:val="center"/>
          </w:tcPr>
          <w:p>
            <w:pPr>
              <w:widowControl/>
              <w:spacing w:line="290" w:lineRule="exact"/>
              <w:jc w:val="center"/>
              <w:outlineLvl w:val="0"/>
              <w:rPr>
                <w:rFonts w:cs="Times New Roman"/>
                <w:color w:val="auto"/>
                <w:highlight w:val="none"/>
              </w:rPr>
            </w:pPr>
            <w:r>
              <w:rPr>
                <w:color w:val="auto"/>
                <w:highlight w:val="none"/>
              </w:rPr>
              <w:t>300</w:t>
            </w:r>
          </w:p>
        </w:tc>
        <w:tc>
          <w:tcPr>
            <w:tcW w:w="1539" w:type="dxa"/>
            <w:tcBorders>
              <w:top w:val="single" w:color="auto" w:sz="12" w:space="0"/>
              <w:bottom w:val="single" w:color="auto" w:sz="12" w:space="0"/>
              <w:right w:val="single" w:color="auto" w:sz="12" w:space="0"/>
            </w:tcBorders>
            <w:vAlign w:val="center"/>
          </w:tcPr>
          <w:p>
            <w:pPr>
              <w:widowControl/>
              <w:spacing w:line="290" w:lineRule="exact"/>
              <w:jc w:val="center"/>
              <w:outlineLvl w:val="0"/>
              <w:rPr>
                <w:color w:val="auto"/>
                <w:highlight w:val="none"/>
              </w:rPr>
            </w:pPr>
            <w:r>
              <w:rPr>
                <w:color w:val="auto"/>
                <w:highlight w:val="none"/>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7" w:hRule="atLeast"/>
          <w:jc w:val="center"/>
        </w:trPr>
        <w:tc>
          <w:tcPr>
            <w:tcW w:w="1631" w:type="dxa"/>
            <w:vMerge w:val="continue"/>
            <w:tcBorders>
              <w:left w:val="single" w:color="auto" w:sz="12" w:space="0"/>
              <w:right w:val="single" w:color="auto" w:sz="12" w:space="0"/>
            </w:tcBorders>
            <w:vAlign w:val="center"/>
          </w:tcPr>
          <w:p>
            <w:pPr>
              <w:widowControl/>
              <w:spacing w:line="290" w:lineRule="exact"/>
              <w:jc w:val="center"/>
              <w:outlineLvl w:val="0"/>
              <w:rPr>
                <w:rFonts w:cs="宋体"/>
                <w:color w:val="auto"/>
                <w:highlight w:val="none"/>
              </w:rPr>
            </w:pPr>
          </w:p>
        </w:tc>
        <w:tc>
          <w:tcPr>
            <w:tcW w:w="1162" w:type="dxa"/>
            <w:vMerge w:val="continue"/>
            <w:tcBorders>
              <w:left w:val="single" w:color="auto" w:sz="12" w:space="0"/>
              <w:bottom w:val="single" w:color="auto" w:sz="12" w:space="0"/>
              <w:right w:val="single" w:color="auto" w:sz="12" w:space="0"/>
            </w:tcBorders>
            <w:vAlign w:val="center"/>
          </w:tcPr>
          <w:p>
            <w:pPr>
              <w:widowControl/>
              <w:spacing w:line="290" w:lineRule="exact"/>
              <w:jc w:val="left"/>
              <w:outlineLvl w:val="0"/>
              <w:rPr>
                <w:rFonts w:cs="宋体"/>
                <w:color w:val="auto"/>
                <w:highlight w:val="none"/>
              </w:rPr>
            </w:pPr>
          </w:p>
        </w:tc>
        <w:tc>
          <w:tcPr>
            <w:tcW w:w="820" w:type="dxa"/>
            <w:tcBorders>
              <w:top w:val="single" w:color="auto" w:sz="12" w:space="0"/>
              <w:left w:val="single" w:color="auto" w:sz="12" w:space="0"/>
              <w:bottom w:val="single" w:color="auto" w:sz="12" w:space="0"/>
              <w:right w:val="single" w:color="auto" w:sz="12" w:space="0"/>
            </w:tcBorders>
            <w:vAlign w:val="center"/>
          </w:tcPr>
          <w:p>
            <w:pPr>
              <w:widowControl/>
              <w:spacing w:line="290" w:lineRule="exact"/>
              <w:jc w:val="left"/>
              <w:outlineLvl w:val="0"/>
              <w:rPr>
                <w:rFonts w:cs="Times New Roman"/>
                <w:color w:val="auto"/>
                <w:highlight w:val="none"/>
              </w:rPr>
            </w:pPr>
            <w:r>
              <w:rPr>
                <w:rFonts w:hint="eastAsia" w:cs="Times New Roman"/>
                <w:color w:val="auto"/>
                <w:highlight w:val="none"/>
              </w:rPr>
              <w:t>市外</w:t>
            </w:r>
          </w:p>
        </w:tc>
        <w:tc>
          <w:tcPr>
            <w:tcW w:w="6039" w:type="dxa"/>
            <w:gridSpan w:val="4"/>
            <w:tcBorders>
              <w:top w:val="single" w:color="auto" w:sz="4" w:space="0"/>
              <w:left w:val="single" w:color="auto" w:sz="12" w:space="0"/>
              <w:right w:val="single" w:color="auto" w:sz="12" w:space="0"/>
            </w:tcBorders>
            <w:vAlign w:val="center"/>
          </w:tcPr>
          <w:p>
            <w:pPr>
              <w:spacing w:line="290" w:lineRule="exact"/>
              <w:jc w:val="center"/>
              <w:outlineLvl w:val="0"/>
              <w:rPr>
                <w:color w:val="auto"/>
                <w:highlight w:val="none"/>
              </w:rPr>
            </w:pPr>
            <w:r>
              <w:rPr>
                <w:rFonts w:hint="eastAsia"/>
                <w:color w:val="auto"/>
                <w:highlight w:val="none"/>
              </w:rPr>
              <w:t>8</w:t>
            </w:r>
            <w:r>
              <w:rPr>
                <w:color w:val="auto"/>
                <w:highlight w:val="none"/>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1631" w:type="dxa"/>
            <w:vMerge w:val="continue"/>
            <w:tcBorders>
              <w:left w:val="single" w:color="auto" w:sz="12" w:space="0"/>
              <w:right w:val="single" w:color="auto" w:sz="12" w:space="0"/>
            </w:tcBorders>
            <w:vAlign w:val="center"/>
          </w:tcPr>
          <w:p>
            <w:pPr>
              <w:widowControl/>
              <w:spacing w:line="290" w:lineRule="exact"/>
              <w:ind w:firstLine="420" w:firstLineChars="200"/>
              <w:jc w:val="left"/>
              <w:outlineLvl w:val="0"/>
              <w:rPr>
                <w:rFonts w:cs="Times New Roman"/>
                <w:color w:val="auto"/>
                <w:highlight w:val="none"/>
              </w:rPr>
            </w:pPr>
          </w:p>
        </w:tc>
        <w:tc>
          <w:tcPr>
            <w:tcW w:w="1162" w:type="dxa"/>
            <w:vMerge w:val="restart"/>
            <w:tcBorders>
              <w:top w:val="single" w:color="auto" w:sz="12" w:space="0"/>
              <w:left w:val="single" w:color="auto" w:sz="12" w:space="0"/>
              <w:right w:val="single" w:color="auto" w:sz="12" w:space="0"/>
            </w:tcBorders>
            <w:vAlign w:val="center"/>
          </w:tcPr>
          <w:p>
            <w:pPr>
              <w:widowControl/>
              <w:spacing w:line="290" w:lineRule="exact"/>
              <w:jc w:val="left"/>
              <w:outlineLvl w:val="0"/>
              <w:rPr>
                <w:rFonts w:cs="Times New Roman"/>
                <w:color w:val="auto"/>
                <w:highlight w:val="none"/>
              </w:rPr>
            </w:pPr>
            <w:r>
              <w:rPr>
                <w:rFonts w:hint="eastAsia" w:cs="宋体"/>
                <w:color w:val="auto"/>
                <w:highlight w:val="none"/>
              </w:rPr>
              <w:t>支付比例</w:t>
            </w:r>
          </w:p>
        </w:tc>
        <w:tc>
          <w:tcPr>
            <w:tcW w:w="820" w:type="dxa"/>
            <w:tcBorders>
              <w:top w:val="single" w:color="auto" w:sz="12" w:space="0"/>
              <w:left w:val="single" w:color="auto" w:sz="12" w:space="0"/>
              <w:bottom w:val="single" w:color="auto" w:sz="12" w:space="0"/>
              <w:right w:val="single" w:color="auto" w:sz="12" w:space="0"/>
            </w:tcBorders>
            <w:vAlign w:val="center"/>
          </w:tcPr>
          <w:p>
            <w:pPr>
              <w:widowControl/>
              <w:spacing w:line="290" w:lineRule="exact"/>
              <w:jc w:val="left"/>
              <w:outlineLvl w:val="0"/>
              <w:rPr>
                <w:rFonts w:cs="Times New Roman"/>
                <w:color w:val="auto"/>
                <w:highlight w:val="none"/>
              </w:rPr>
            </w:pPr>
            <w:r>
              <w:rPr>
                <w:rFonts w:hint="eastAsia" w:cs="Times New Roman"/>
                <w:color w:val="auto"/>
                <w:highlight w:val="none"/>
              </w:rPr>
              <w:t>市内</w:t>
            </w:r>
          </w:p>
        </w:tc>
        <w:tc>
          <w:tcPr>
            <w:tcW w:w="1004" w:type="dxa"/>
            <w:tcBorders>
              <w:top w:val="single" w:color="auto" w:sz="12" w:space="0"/>
              <w:left w:val="single" w:color="auto" w:sz="12" w:space="0"/>
              <w:bottom w:val="single" w:color="auto" w:sz="12" w:space="0"/>
              <w:right w:val="single" w:color="auto" w:sz="4" w:space="0"/>
            </w:tcBorders>
            <w:shd w:val="clear" w:color="auto" w:fill="auto"/>
          </w:tcPr>
          <w:p>
            <w:pPr>
              <w:widowControl/>
              <w:jc w:val="center"/>
              <w:rPr>
                <w:color w:val="auto"/>
                <w:highlight w:val="none"/>
              </w:rPr>
            </w:pPr>
            <w:r>
              <w:rPr>
                <w:rFonts w:hint="eastAsia"/>
                <w:color w:val="auto"/>
                <w:highlight w:val="none"/>
              </w:rPr>
              <w:t>60</w:t>
            </w:r>
            <w:r>
              <w:rPr>
                <w:color w:val="auto"/>
                <w:highlight w:val="none"/>
              </w:rPr>
              <w:t>%</w:t>
            </w:r>
          </w:p>
        </w:tc>
        <w:tc>
          <w:tcPr>
            <w:tcW w:w="2430" w:type="dxa"/>
            <w:tcBorders>
              <w:top w:val="single" w:color="auto" w:sz="12" w:space="0"/>
              <w:left w:val="single" w:color="auto" w:sz="4" w:space="0"/>
              <w:bottom w:val="single" w:color="auto" w:sz="12" w:space="0"/>
              <w:right w:val="single" w:color="auto" w:sz="4" w:space="0"/>
            </w:tcBorders>
            <w:shd w:val="clear" w:color="auto" w:fill="auto"/>
          </w:tcPr>
          <w:p>
            <w:pPr>
              <w:widowControl/>
              <w:jc w:val="center"/>
              <w:rPr>
                <w:color w:val="auto"/>
                <w:highlight w:val="none"/>
              </w:rPr>
            </w:pPr>
            <w:r>
              <w:rPr>
                <w:rFonts w:hint="eastAsia"/>
                <w:color w:val="auto"/>
                <w:highlight w:val="none"/>
              </w:rPr>
              <w:t>70</w:t>
            </w:r>
            <w:r>
              <w:rPr>
                <w:color w:val="auto"/>
                <w:highlight w:val="none"/>
              </w:rPr>
              <w:t>%</w:t>
            </w:r>
          </w:p>
        </w:tc>
        <w:tc>
          <w:tcPr>
            <w:tcW w:w="1066" w:type="dxa"/>
            <w:tcBorders>
              <w:top w:val="single" w:color="auto" w:sz="12" w:space="0"/>
              <w:left w:val="single" w:color="auto" w:sz="4" w:space="0"/>
              <w:bottom w:val="single" w:color="auto" w:sz="12" w:space="0"/>
              <w:right w:val="single" w:color="auto" w:sz="4" w:space="0"/>
            </w:tcBorders>
            <w:shd w:val="clear" w:color="auto" w:fill="auto"/>
          </w:tcPr>
          <w:p>
            <w:pPr>
              <w:widowControl/>
              <w:jc w:val="center"/>
              <w:rPr>
                <w:color w:val="auto"/>
                <w:highlight w:val="none"/>
              </w:rPr>
            </w:pPr>
            <w:r>
              <w:rPr>
                <w:rFonts w:hint="eastAsia"/>
                <w:color w:val="auto"/>
                <w:highlight w:val="none"/>
              </w:rPr>
              <w:t>82</w:t>
            </w:r>
            <w:r>
              <w:rPr>
                <w:color w:val="auto"/>
                <w:highlight w:val="none"/>
              </w:rPr>
              <w:t>%</w:t>
            </w:r>
          </w:p>
        </w:tc>
        <w:tc>
          <w:tcPr>
            <w:tcW w:w="1539" w:type="dxa"/>
            <w:tcBorders>
              <w:top w:val="single" w:color="auto" w:sz="12" w:space="0"/>
              <w:left w:val="single" w:color="auto" w:sz="4" w:space="0"/>
              <w:bottom w:val="single" w:color="auto" w:sz="12" w:space="0"/>
              <w:right w:val="single" w:color="auto" w:sz="12" w:space="0"/>
            </w:tcBorders>
            <w:shd w:val="clear" w:color="auto" w:fill="auto"/>
          </w:tcPr>
          <w:p>
            <w:pPr>
              <w:widowControl/>
              <w:jc w:val="center"/>
              <w:rPr>
                <w:color w:val="auto"/>
                <w:highlight w:val="none"/>
              </w:rPr>
            </w:pPr>
            <w:r>
              <w:rPr>
                <w:rFonts w:hint="eastAsia"/>
                <w:color w:val="auto"/>
                <w:highlight w:val="none"/>
              </w:rPr>
              <w:t>92</w:t>
            </w:r>
            <w:r>
              <w:rPr>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3" w:hRule="atLeast"/>
          <w:jc w:val="center"/>
        </w:trPr>
        <w:tc>
          <w:tcPr>
            <w:tcW w:w="1631" w:type="dxa"/>
            <w:vMerge w:val="continue"/>
            <w:tcBorders>
              <w:left w:val="single" w:color="auto" w:sz="12" w:space="0"/>
              <w:bottom w:val="single" w:color="auto" w:sz="12" w:space="0"/>
              <w:right w:val="single" w:color="auto" w:sz="12" w:space="0"/>
            </w:tcBorders>
            <w:vAlign w:val="center"/>
          </w:tcPr>
          <w:p>
            <w:pPr>
              <w:widowControl/>
              <w:spacing w:line="290" w:lineRule="exact"/>
              <w:ind w:firstLine="420" w:firstLineChars="200"/>
              <w:jc w:val="left"/>
              <w:outlineLvl w:val="0"/>
              <w:rPr>
                <w:rFonts w:cs="Times New Roman"/>
                <w:color w:val="auto"/>
                <w:highlight w:val="none"/>
              </w:rPr>
            </w:pPr>
          </w:p>
        </w:tc>
        <w:tc>
          <w:tcPr>
            <w:tcW w:w="1162" w:type="dxa"/>
            <w:vMerge w:val="continue"/>
            <w:tcBorders>
              <w:left w:val="single" w:color="auto" w:sz="12" w:space="0"/>
              <w:bottom w:val="single" w:color="auto" w:sz="12" w:space="0"/>
              <w:right w:val="single" w:color="auto" w:sz="12" w:space="0"/>
            </w:tcBorders>
            <w:vAlign w:val="center"/>
          </w:tcPr>
          <w:p>
            <w:pPr>
              <w:widowControl/>
              <w:spacing w:line="290" w:lineRule="exact"/>
              <w:jc w:val="left"/>
              <w:outlineLvl w:val="0"/>
              <w:rPr>
                <w:rFonts w:cs="宋体"/>
                <w:color w:val="auto"/>
                <w:highlight w:val="none"/>
              </w:rPr>
            </w:pPr>
          </w:p>
        </w:tc>
        <w:tc>
          <w:tcPr>
            <w:tcW w:w="820" w:type="dxa"/>
            <w:tcBorders>
              <w:top w:val="single" w:color="auto" w:sz="12" w:space="0"/>
              <w:left w:val="single" w:color="auto" w:sz="12" w:space="0"/>
              <w:bottom w:val="single" w:color="auto" w:sz="12" w:space="0"/>
              <w:right w:val="single" w:color="auto" w:sz="12" w:space="0"/>
            </w:tcBorders>
            <w:vAlign w:val="center"/>
          </w:tcPr>
          <w:p>
            <w:pPr>
              <w:widowControl/>
              <w:spacing w:line="290" w:lineRule="exact"/>
              <w:jc w:val="left"/>
              <w:outlineLvl w:val="0"/>
              <w:rPr>
                <w:rFonts w:cs="宋体"/>
                <w:color w:val="auto"/>
                <w:highlight w:val="none"/>
              </w:rPr>
            </w:pPr>
            <w:r>
              <w:rPr>
                <w:rFonts w:hint="eastAsia" w:cs="宋体"/>
                <w:color w:val="auto"/>
                <w:highlight w:val="none"/>
              </w:rPr>
              <w:t>市外</w:t>
            </w:r>
          </w:p>
        </w:tc>
        <w:tc>
          <w:tcPr>
            <w:tcW w:w="1004" w:type="dxa"/>
            <w:tcBorders>
              <w:top w:val="single" w:color="auto" w:sz="12" w:space="0"/>
              <w:left w:val="single" w:color="auto" w:sz="12" w:space="0"/>
              <w:bottom w:val="single" w:color="auto" w:sz="12" w:space="0"/>
              <w:right w:val="single" w:color="auto" w:sz="4" w:space="0"/>
            </w:tcBorders>
            <w:shd w:val="clear" w:color="auto" w:fill="auto"/>
          </w:tcPr>
          <w:p>
            <w:pPr>
              <w:widowControl/>
              <w:jc w:val="center"/>
              <w:rPr>
                <w:color w:val="auto"/>
                <w:highlight w:val="none"/>
              </w:rPr>
            </w:pPr>
            <w:r>
              <w:rPr>
                <w:rFonts w:hint="eastAsia"/>
                <w:color w:val="auto"/>
                <w:highlight w:val="none"/>
              </w:rPr>
              <w:t>55%</w:t>
            </w:r>
          </w:p>
        </w:tc>
        <w:tc>
          <w:tcPr>
            <w:tcW w:w="2430" w:type="dxa"/>
            <w:tcBorders>
              <w:top w:val="single" w:color="auto" w:sz="12" w:space="0"/>
              <w:left w:val="single" w:color="auto" w:sz="4" w:space="0"/>
              <w:bottom w:val="single" w:color="auto" w:sz="12" w:space="0"/>
              <w:right w:val="single" w:color="auto" w:sz="4" w:space="0"/>
            </w:tcBorders>
            <w:shd w:val="clear" w:color="auto" w:fill="auto"/>
          </w:tcPr>
          <w:p>
            <w:pPr>
              <w:widowControl/>
              <w:jc w:val="center"/>
              <w:rPr>
                <w:color w:val="auto"/>
                <w:highlight w:val="none"/>
              </w:rPr>
            </w:pPr>
            <w:r>
              <w:rPr>
                <w:rFonts w:hint="eastAsia"/>
                <w:color w:val="auto"/>
                <w:highlight w:val="none"/>
              </w:rPr>
              <w:t>60%</w:t>
            </w:r>
          </w:p>
        </w:tc>
        <w:tc>
          <w:tcPr>
            <w:tcW w:w="1066" w:type="dxa"/>
            <w:tcBorders>
              <w:top w:val="single" w:color="auto" w:sz="12" w:space="0"/>
              <w:left w:val="single" w:color="auto" w:sz="4" w:space="0"/>
              <w:bottom w:val="single" w:color="auto" w:sz="12" w:space="0"/>
              <w:right w:val="single" w:color="auto" w:sz="4" w:space="0"/>
            </w:tcBorders>
            <w:shd w:val="clear" w:color="auto" w:fill="auto"/>
          </w:tcPr>
          <w:p>
            <w:pPr>
              <w:jc w:val="center"/>
              <w:rPr>
                <w:color w:val="auto"/>
                <w:highlight w:val="none"/>
              </w:rPr>
            </w:pPr>
            <w:r>
              <w:rPr>
                <w:rFonts w:hint="eastAsia"/>
                <w:color w:val="auto"/>
                <w:highlight w:val="none"/>
              </w:rPr>
              <w:t>72%</w:t>
            </w:r>
          </w:p>
        </w:tc>
        <w:tc>
          <w:tcPr>
            <w:tcW w:w="1539" w:type="dxa"/>
            <w:tcBorders>
              <w:top w:val="single" w:color="auto" w:sz="12" w:space="0"/>
              <w:left w:val="single" w:color="auto" w:sz="4" w:space="0"/>
              <w:bottom w:val="single" w:color="auto" w:sz="12" w:space="0"/>
              <w:right w:val="single" w:color="auto" w:sz="12" w:space="0"/>
            </w:tcBorders>
            <w:shd w:val="clear" w:color="auto" w:fill="auto"/>
          </w:tcPr>
          <w:p>
            <w:pPr>
              <w:widowControl/>
              <w:jc w:val="center"/>
              <w:rPr>
                <w:color w:val="auto"/>
                <w:highlight w:val="none"/>
              </w:rPr>
            </w:pPr>
            <w:r>
              <w:rPr>
                <w:rFonts w:hint="eastAsia"/>
                <w:color w:val="auto"/>
                <w:highlight w:val="none"/>
              </w:rPr>
              <w:t>82%</w:t>
            </w:r>
          </w:p>
        </w:tc>
      </w:tr>
    </w:tbl>
    <w:p>
      <w:pPr>
        <w:widowControl/>
        <w:spacing w:line="290" w:lineRule="exact"/>
        <w:ind w:firstLine="270" w:firstLineChars="150"/>
        <w:jc w:val="left"/>
        <w:outlineLvl w:val="0"/>
        <w:rPr>
          <w:rFonts w:cs="宋体"/>
          <w:color w:val="auto"/>
          <w:sz w:val="18"/>
          <w:szCs w:val="18"/>
          <w:highlight w:val="none"/>
        </w:rPr>
      </w:pPr>
    </w:p>
    <w:p>
      <w:pPr>
        <w:widowControl/>
        <w:spacing w:line="290" w:lineRule="exact"/>
        <w:ind w:firstLine="270" w:firstLineChars="150"/>
        <w:jc w:val="left"/>
        <w:outlineLvl w:val="0"/>
        <w:rPr>
          <w:rFonts w:cs="Times New Roman"/>
          <w:color w:val="auto"/>
          <w:sz w:val="18"/>
          <w:szCs w:val="18"/>
          <w:highlight w:val="none"/>
        </w:rPr>
      </w:pPr>
      <w:r>
        <w:rPr>
          <w:rFonts w:hint="eastAsia" w:cs="宋体"/>
          <w:color w:val="auto"/>
          <w:sz w:val="18"/>
          <w:szCs w:val="18"/>
          <w:highlight w:val="none"/>
        </w:rPr>
        <w:t>说明：1、参保人员年度内多次住院按上述起付标准依次递减</w:t>
      </w:r>
      <w:r>
        <w:rPr>
          <w:color w:val="auto"/>
          <w:sz w:val="18"/>
          <w:szCs w:val="18"/>
          <w:highlight w:val="none"/>
        </w:rPr>
        <w:t>100</w:t>
      </w:r>
      <w:r>
        <w:rPr>
          <w:rFonts w:hint="eastAsia" w:cs="宋体"/>
          <w:color w:val="auto"/>
          <w:sz w:val="18"/>
          <w:szCs w:val="18"/>
          <w:highlight w:val="none"/>
        </w:rPr>
        <w:t>元，直至降至零为止。参保人员在县域内医共体成员单位间转院，经转出、转入医院在医保信息系统中审核确认的，取消二次住院起付线。</w:t>
      </w:r>
    </w:p>
    <w:p>
      <w:pPr>
        <w:widowControl/>
        <w:numPr>
          <w:ilvl w:val="0"/>
          <w:numId w:val="4"/>
        </w:numPr>
        <w:spacing w:line="250" w:lineRule="exact"/>
        <w:ind w:firstLine="360" w:firstLineChars="200"/>
        <w:jc w:val="left"/>
        <w:outlineLvl w:val="0"/>
        <w:rPr>
          <w:rFonts w:cs="宋体"/>
          <w:color w:val="auto"/>
          <w:highlight w:val="none"/>
        </w:rPr>
      </w:pPr>
      <w:r>
        <w:rPr>
          <w:rFonts w:hint="eastAsia" w:cs="Times New Roman"/>
          <w:color w:val="auto"/>
          <w:sz w:val="18"/>
          <w:szCs w:val="18"/>
          <w:highlight w:val="none"/>
        </w:rPr>
        <w:t xml:space="preserve"> 城乡居民医保生育住院按城乡居民住院待遇报销。</w:t>
      </w:r>
    </w:p>
    <w:p>
      <w:pPr>
        <w:pStyle w:val="7"/>
        <w:spacing w:line="290" w:lineRule="exact"/>
        <w:rPr>
          <w:rFonts w:cs="宋体"/>
          <w:b/>
          <w:bCs/>
          <w:color w:val="auto"/>
          <w:highlight w:val="none"/>
        </w:rPr>
      </w:pPr>
      <w:r>
        <w:rPr>
          <w:rFonts w:hint="eastAsia" w:cs="宋体"/>
          <w:b/>
          <w:bCs/>
          <w:color w:val="auto"/>
          <w:highlight w:val="none"/>
        </w:rPr>
        <w:t xml:space="preserve">   </w:t>
      </w:r>
      <w:r>
        <w:rPr>
          <w:rFonts w:hint="eastAsia" w:ascii="宋体" w:hAnsi="宋体" w:cs="宋体"/>
          <w:color w:val="auto"/>
          <w:kern w:val="0"/>
          <w:highlight w:val="none"/>
        </w:rPr>
        <w:t>（二）按病种收费</w:t>
      </w:r>
    </w:p>
    <w:p>
      <w:pPr>
        <w:spacing w:line="256" w:lineRule="exact"/>
        <w:ind w:firstLine="282" w:firstLineChars="157"/>
        <w:rPr>
          <w:rFonts w:ascii="宋体" w:hAnsi="宋体" w:cs="宋体"/>
          <w:color w:val="auto"/>
          <w:sz w:val="18"/>
          <w:szCs w:val="18"/>
          <w:highlight w:val="none"/>
        </w:rPr>
      </w:pPr>
      <w:r>
        <w:rPr>
          <w:rFonts w:hint="eastAsia" w:ascii="宋体" w:hAnsi="宋体" w:cs="宋体"/>
          <w:color w:val="auto"/>
          <w:sz w:val="18"/>
          <w:szCs w:val="18"/>
          <w:highlight w:val="none"/>
        </w:rPr>
        <w:t>在定点医疗机构发生的列入按病种收费管理的病种费用，医保按照该病种收费标准结算，不设起付线，由个人和统筹基金按比例分担。</w:t>
      </w:r>
    </w:p>
    <w:p>
      <w:pPr>
        <w:spacing w:line="256" w:lineRule="exact"/>
        <w:ind w:firstLine="282" w:firstLineChars="157"/>
        <w:rPr>
          <w:rFonts w:ascii="宋体"/>
          <w:color w:val="auto"/>
          <w:sz w:val="18"/>
          <w:szCs w:val="18"/>
          <w:highlight w:val="none"/>
        </w:rPr>
      </w:pPr>
      <w:r>
        <w:rPr>
          <w:rFonts w:hint="eastAsia" w:ascii="宋体" w:hAnsi="宋体" w:cs="宋体"/>
          <w:color w:val="auto"/>
          <w:sz w:val="18"/>
          <w:szCs w:val="18"/>
          <w:highlight w:val="none"/>
        </w:rPr>
        <w:t>省属医院按以下标准结算：</w:t>
      </w:r>
    </w:p>
    <w:tbl>
      <w:tblPr>
        <w:tblStyle w:val="5"/>
        <w:tblW w:w="5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7"/>
        <w:gridCol w:w="1456"/>
        <w:gridCol w:w="1323"/>
        <w:gridCol w:w="777"/>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1" w:hRule="atLeast"/>
          <w:jc w:val="center"/>
        </w:trPr>
        <w:tc>
          <w:tcPr>
            <w:tcW w:w="1007" w:type="dxa"/>
            <w:vMerge w:val="restart"/>
            <w:tcBorders>
              <w:tl2br w:val="single" w:color="auto" w:sz="4" w:space="0"/>
            </w:tcBorders>
          </w:tcPr>
          <w:p>
            <w:pPr>
              <w:spacing w:line="256" w:lineRule="exact"/>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医保</w:t>
            </w:r>
          </w:p>
          <w:p>
            <w:pPr>
              <w:spacing w:line="256" w:lineRule="exact"/>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待遇</w:t>
            </w:r>
          </w:p>
          <w:p>
            <w:pPr>
              <w:spacing w:line="256" w:lineRule="exact"/>
              <w:ind w:firstLine="360" w:firstLineChars="200"/>
              <w:jc w:val="left"/>
              <w:rPr>
                <w:rFonts w:ascii="宋体" w:hAnsi="宋体" w:cs="宋体"/>
                <w:color w:val="auto"/>
                <w:sz w:val="18"/>
                <w:szCs w:val="18"/>
                <w:highlight w:val="none"/>
              </w:rPr>
            </w:pPr>
          </w:p>
          <w:p>
            <w:pPr>
              <w:spacing w:line="256" w:lineRule="exact"/>
              <w:rPr>
                <w:rFonts w:ascii="宋体" w:hAnsi="宋体" w:cs="宋体"/>
                <w:color w:val="auto"/>
                <w:sz w:val="18"/>
                <w:szCs w:val="18"/>
                <w:highlight w:val="none"/>
              </w:rPr>
            </w:pPr>
            <w:r>
              <w:rPr>
                <w:rFonts w:hint="eastAsia" w:ascii="宋体" w:hAnsi="宋体" w:cs="宋体"/>
                <w:color w:val="auto"/>
                <w:sz w:val="18"/>
                <w:szCs w:val="18"/>
                <w:highlight w:val="none"/>
              </w:rPr>
              <w:t>参保</w:t>
            </w:r>
          </w:p>
          <w:p>
            <w:pPr>
              <w:spacing w:line="256" w:lineRule="exact"/>
              <w:rPr>
                <w:rFonts w:ascii="宋体"/>
                <w:color w:val="auto"/>
                <w:sz w:val="18"/>
                <w:szCs w:val="18"/>
                <w:highlight w:val="none"/>
              </w:rPr>
            </w:pPr>
            <w:r>
              <w:rPr>
                <w:rFonts w:hint="eastAsia" w:ascii="宋体" w:hAnsi="宋体" w:cs="宋体"/>
                <w:color w:val="auto"/>
                <w:sz w:val="18"/>
                <w:szCs w:val="18"/>
                <w:highlight w:val="none"/>
              </w:rPr>
              <w:t>对象</w:t>
            </w:r>
          </w:p>
        </w:tc>
        <w:tc>
          <w:tcPr>
            <w:tcW w:w="2779" w:type="dxa"/>
            <w:gridSpan w:val="2"/>
          </w:tcPr>
          <w:p>
            <w:pPr>
              <w:spacing w:line="256"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省属</w:t>
            </w:r>
            <w:r>
              <w:rPr>
                <w:rFonts w:ascii="宋体" w:hAnsi="宋体" w:cs="宋体"/>
                <w:color w:val="auto"/>
                <w:sz w:val="18"/>
                <w:szCs w:val="18"/>
                <w:highlight w:val="none"/>
              </w:rPr>
              <w:t>A</w:t>
            </w:r>
            <w:r>
              <w:rPr>
                <w:rFonts w:hint="eastAsia" w:ascii="宋体" w:hAnsi="宋体" w:cs="宋体"/>
                <w:color w:val="auto"/>
                <w:sz w:val="18"/>
                <w:szCs w:val="18"/>
                <w:highlight w:val="none"/>
              </w:rPr>
              <w:t>档医院</w:t>
            </w:r>
          </w:p>
          <w:p>
            <w:pPr>
              <w:spacing w:line="256" w:lineRule="exact"/>
              <w:rPr>
                <w:rFonts w:ascii="宋体"/>
                <w:color w:val="auto"/>
                <w:sz w:val="18"/>
                <w:szCs w:val="18"/>
                <w:highlight w:val="none"/>
              </w:rPr>
            </w:pPr>
            <w:r>
              <w:rPr>
                <w:rFonts w:hint="eastAsia" w:ascii="宋体" w:hAnsi="宋体" w:cs="宋体"/>
                <w:color w:val="auto"/>
                <w:sz w:val="13"/>
                <w:szCs w:val="13"/>
                <w:highlight w:val="none"/>
              </w:rPr>
              <w:t>（省立医院及南院、协和医院、附一医院、联勤保障部队第九〇〇医院、省肿瘤医院、省妇幼保健院、省人民医院、省第二人民医院）</w:t>
            </w:r>
          </w:p>
        </w:tc>
        <w:tc>
          <w:tcPr>
            <w:tcW w:w="1536" w:type="dxa"/>
            <w:gridSpan w:val="2"/>
          </w:tcPr>
          <w:p>
            <w:pPr>
              <w:spacing w:line="256" w:lineRule="exact"/>
              <w:rPr>
                <w:rFonts w:ascii="宋体" w:hAnsi="宋体" w:cs="宋体"/>
                <w:color w:val="auto"/>
                <w:sz w:val="18"/>
                <w:szCs w:val="18"/>
                <w:highlight w:val="none"/>
              </w:rPr>
            </w:pPr>
          </w:p>
          <w:p>
            <w:pPr>
              <w:spacing w:line="256"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省属</w:t>
            </w:r>
            <w:r>
              <w:rPr>
                <w:rFonts w:ascii="宋体" w:hAnsi="宋体" w:cs="宋体"/>
                <w:color w:val="auto"/>
                <w:sz w:val="18"/>
                <w:szCs w:val="18"/>
                <w:highlight w:val="none"/>
              </w:rPr>
              <w:t>B</w:t>
            </w:r>
            <w:r>
              <w:rPr>
                <w:rFonts w:hint="eastAsia" w:ascii="宋体" w:hAnsi="宋体" w:cs="宋体"/>
                <w:color w:val="auto"/>
                <w:sz w:val="18"/>
                <w:szCs w:val="18"/>
                <w:highlight w:val="none"/>
              </w:rPr>
              <w:t>档医院</w:t>
            </w:r>
          </w:p>
          <w:p>
            <w:pPr>
              <w:spacing w:line="256" w:lineRule="exact"/>
              <w:jc w:val="center"/>
              <w:rPr>
                <w:rFonts w:ascii="宋体"/>
                <w:color w:val="auto"/>
                <w:sz w:val="18"/>
                <w:szCs w:val="18"/>
                <w:highlight w:val="none"/>
              </w:rPr>
            </w:pPr>
            <w:r>
              <w:rPr>
                <w:rFonts w:hint="eastAsia" w:ascii="宋体" w:hAnsi="宋体" w:cs="宋体"/>
                <w:color w:val="auto"/>
                <w:sz w:val="15"/>
                <w:szCs w:val="15"/>
                <w:highlight w:val="none"/>
              </w:rPr>
              <w:t>（其他省属医院）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1007" w:type="dxa"/>
            <w:vMerge w:val="continue"/>
          </w:tcPr>
          <w:p>
            <w:pPr>
              <w:spacing w:line="256" w:lineRule="exact"/>
              <w:ind w:firstLine="360" w:firstLineChars="200"/>
              <w:jc w:val="center"/>
              <w:rPr>
                <w:rFonts w:ascii="宋体"/>
                <w:color w:val="auto"/>
                <w:sz w:val="18"/>
                <w:szCs w:val="18"/>
                <w:highlight w:val="none"/>
              </w:rPr>
            </w:pPr>
          </w:p>
        </w:tc>
        <w:tc>
          <w:tcPr>
            <w:tcW w:w="1456" w:type="dxa"/>
            <w:vAlign w:val="center"/>
          </w:tcPr>
          <w:p>
            <w:pPr>
              <w:spacing w:line="256" w:lineRule="exact"/>
              <w:jc w:val="center"/>
              <w:rPr>
                <w:rFonts w:ascii="宋体"/>
                <w:color w:val="auto"/>
                <w:sz w:val="18"/>
                <w:szCs w:val="18"/>
                <w:highlight w:val="none"/>
              </w:rPr>
            </w:pPr>
            <w:r>
              <w:rPr>
                <w:rFonts w:hint="eastAsia" w:ascii="宋体" w:hAnsi="宋体" w:cs="宋体"/>
                <w:color w:val="auto"/>
                <w:sz w:val="18"/>
                <w:szCs w:val="18"/>
                <w:highlight w:val="none"/>
              </w:rPr>
              <w:t>统筹支付比例</w:t>
            </w:r>
          </w:p>
        </w:tc>
        <w:tc>
          <w:tcPr>
            <w:tcW w:w="1323" w:type="dxa"/>
            <w:vAlign w:val="center"/>
          </w:tcPr>
          <w:p>
            <w:pPr>
              <w:spacing w:line="256" w:lineRule="exact"/>
              <w:jc w:val="center"/>
              <w:rPr>
                <w:rFonts w:ascii="宋体"/>
                <w:color w:val="auto"/>
                <w:sz w:val="18"/>
                <w:szCs w:val="18"/>
                <w:highlight w:val="none"/>
              </w:rPr>
            </w:pPr>
            <w:r>
              <w:rPr>
                <w:rFonts w:hint="eastAsia" w:ascii="宋体" w:hAnsi="宋体" w:cs="宋体"/>
                <w:color w:val="auto"/>
                <w:sz w:val="18"/>
                <w:szCs w:val="18"/>
                <w:highlight w:val="none"/>
              </w:rPr>
              <w:t>个人负担比例</w:t>
            </w:r>
          </w:p>
        </w:tc>
        <w:tc>
          <w:tcPr>
            <w:tcW w:w="777" w:type="dxa"/>
          </w:tcPr>
          <w:p>
            <w:pPr>
              <w:spacing w:line="256" w:lineRule="exact"/>
              <w:jc w:val="center"/>
              <w:rPr>
                <w:rFonts w:ascii="宋体"/>
                <w:color w:val="auto"/>
                <w:sz w:val="18"/>
                <w:szCs w:val="18"/>
                <w:highlight w:val="none"/>
              </w:rPr>
            </w:pPr>
            <w:r>
              <w:rPr>
                <w:rFonts w:hint="eastAsia" w:ascii="宋体" w:hAnsi="宋体" w:cs="宋体"/>
                <w:color w:val="auto"/>
                <w:sz w:val="18"/>
                <w:szCs w:val="18"/>
                <w:highlight w:val="none"/>
              </w:rPr>
              <w:t>统筹支付比例</w:t>
            </w:r>
          </w:p>
        </w:tc>
        <w:tc>
          <w:tcPr>
            <w:tcW w:w="759" w:type="dxa"/>
          </w:tcPr>
          <w:p>
            <w:pPr>
              <w:spacing w:line="256" w:lineRule="exact"/>
              <w:jc w:val="center"/>
              <w:rPr>
                <w:rFonts w:ascii="宋体"/>
                <w:color w:val="auto"/>
                <w:sz w:val="18"/>
                <w:szCs w:val="18"/>
                <w:highlight w:val="none"/>
              </w:rPr>
            </w:pPr>
            <w:r>
              <w:rPr>
                <w:rFonts w:hint="eastAsia" w:ascii="宋体" w:hAnsi="宋体" w:cs="宋体"/>
                <w:color w:val="auto"/>
                <w:sz w:val="18"/>
                <w:szCs w:val="18"/>
                <w:highlight w:val="none"/>
              </w:rPr>
              <w:t>个人负担比例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007" w:type="dxa"/>
          </w:tcPr>
          <w:p>
            <w:pPr>
              <w:spacing w:line="256" w:lineRule="exact"/>
              <w:jc w:val="center"/>
              <w:rPr>
                <w:rFonts w:ascii="宋体"/>
                <w:color w:val="auto"/>
                <w:sz w:val="18"/>
                <w:szCs w:val="18"/>
                <w:highlight w:val="none"/>
              </w:rPr>
            </w:pPr>
            <w:r>
              <w:rPr>
                <w:rFonts w:hint="eastAsia" w:ascii="宋体"/>
                <w:color w:val="auto"/>
                <w:sz w:val="18"/>
                <w:szCs w:val="18"/>
                <w:highlight w:val="none"/>
              </w:rPr>
              <w:t>福州市城乡居民</w:t>
            </w:r>
          </w:p>
        </w:tc>
        <w:tc>
          <w:tcPr>
            <w:tcW w:w="1456" w:type="dxa"/>
          </w:tcPr>
          <w:p>
            <w:pPr>
              <w:spacing w:line="256" w:lineRule="exact"/>
              <w:jc w:val="center"/>
              <w:rPr>
                <w:rFonts w:ascii="宋体"/>
                <w:color w:val="auto"/>
                <w:sz w:val="18"/>
                <w:szCs w:val="18"/>
                <w:highlight w:val="none"/>
              </w:rPr>
            </w:pPr>
            <w:r>
              <w:rPr>
                <w:rFonts w:hint="eastAsia" w:ascii="宋体"/>
                <w:color w:val="auto"/>
                <w:sz w:val="18"/>
                <w:szCs w:val="18"/>
                <w:highlight w:val="none"/>
              </w:rPr>
              <w:t>50%</w:t>
            </w:r>
          </w:p>
        </w:tc>
        <w:tc>
          <w:tcPr>
            <w:tcW w:w="1323" w:type="dxa"/>
          </w:tcPr>
          <w:p>
            <w:pPr>
              <w:spacing w:line="256" w:lineRule="exact"/>
              <w:jc w:val="center"/>
              <w:rPr>
                <w:rFonts w:ascii="宋体"/>
                <w:color w:val="auto"/>
                <w:sz w:val="18"/>
                <w:szCs w:val="18"/>
                <w:highlight w:val="none"/>
              </w:rPr>
            </w:pPr>
            <w:r>
              <w:rPr>
                <w:rFonts w:hint="eastAsia" w:ascii="宋体"/>
                <w:color w:val="auto"/>
                <w:sz w:val="18"/>
                <w:szCs w:val="18"/>
                <w:highlight w:val="none"/>
              </w:rPr>
              <w:t>50%</w:t>
            </w:r>
          </w:p>
        </w:tc>
        <w:tc>
          <w:tcPr>
            <w:tcW w:w="777" w:type="dxa"/>
          </w:tcPr>
          <w:p>
            <w:pPr>
              <w:spacing w:line="256" w:lineRule="exact"/>
              <w:ind w:leftChars="-17" w:hanging="36" w:hangingChars="20"/>
              <w:jc w:val="center"/>
              <w:rPr>
                <w:rFonts w:ascii="宋体"/>
                <w:color w:val="auto"/>
                <w:sz w:val="18"/>
                <w:szCs w:val="18"/>
                <w:highlight w:val="none"/>
              </w:rPr>
            </w:pPr>
            <w:r>
              <w:rPr>
                <w:rFonts w:hint="eastAsia" w:ascii="宋体"/>
                <w:color w:val="auto"/>
                <w:sz w:val="18"/>
                <w:szCs w:val="18"/>
                <w:highlight w:val="none"/>
              </w:rPr>
              <w:t>55%</w:t>
            </w:r>
          </w:p>
        </w:tc>
        <w:tc>
          <w:tcPr>
            <w:tcW w:w="759" w:type="dxa"/>
          </w:tcPr>
          <w:p>
            <w:pPr>
              <w:spacing w:line="256" w:lineRule="exact"/>
              <w:ind w:leftChars="-16" w:hanging="34" w:hangingChars="19"/>
              <w:jc w:val="center"/>
              <w:rPr>
                <w:rFonts w:ascii="宋体"/>
                <w:color w:val="auto"/>
                <w:sz w:val="18"/>
                <w:szCs w:val="18"/>
                <w:highlight w:val="none"/>
              </w:rPr>
            </w:pPr>
            <w:r>
              <w:rPr>
                <w:rFonts w:hint="eastAsia" w:ascii="宋体"/>
                <w:color w:val="auto"/>
                <w:sz w:val="18"/>
                <w:szCs w:val="18"/>
                <w:highlight w:val="none"/>
              </w:rPr>
              <w:t>45%</w:t>
            </w:r>
          </w:p>
        </w:tc>
      </w:tr>
    </w:tbl>
    <w:p>
      <w:pPr>
        <w:spacing w:line="256" w:lineRule="exact"/>
        <w:ind w:firstLine="282" w:firstLineChars="157"/>
        <w:rPr>
          <w:rFonts w:ascii="宋体" w:hAnsi="宋体" w:cs="宋体"/>
          <w:color w:val="auto"/>
          <w:sz w:val="18"/>
          <w:szCs w:val="18"/>
          <w:highlight w:val="none"/>
        </w:rPr>
      </w:pPr>
      <w:r>
        <w:rPr>
          <w:rFonts w:hint="eastAsia" w:ascii="宋体"/>
          <w:color w:val="auto"/>
          <w:sz w:val="18"/>
          <w:szCs w:val="18"/>
          <w:highlight w:val="none"/>
        </w:rPr>
        <w:t>市属医院</w:t>
      </w:r>
      <w:r>
        <w:rPr>
          <w:rFonts w:hint="eastAsia" w:ascii="宋体" w:hAnsi="宋体" w:cs="宋体"/>
          <w:color w:val="auto"/>
          <w:sz w:val="18"/>
          <w:szCs w:val="18"/>
          <w:highlight w:val="none"/>
        </w:rPr>
        <w:t>按以下标准结算：</w:t>
      </w:r>
    </w:p>
    <w:tbl>
      <w:tblPr>
        <w:tblStyle w:val="5"/>
        <w:tblW w:w="53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0"/>
        <w:gridCol w:w="803"/>
        <w:gridCol w:w="689"/>
        <w:gridCol w:w="709"/>
        <w:gridCol w:w="708"/>
        <w:gridCol w:w="709"/>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8" w:hRule="atLeast"/>
          <w:jc w:val="center"/>
        </w:trPr>
        <w:tc>
          <w:tcPr>
            <w:tcW w:w="1060" w:type="dxa"/>
            <w:vMerge w:val="restart"/>
            <w:tcBorders>
              <w:tl2br w:val="single" w:color="auto" w:sz="4" w:space="0"/>
            </w:tcBorders>
            <w:vAlign w:val="center"/>
          </w:tcPr>
          <w:p>
            <w:pPr>
              <w:spacing w:line="18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医保</w:t>
            </w:r>
          </w:p>
          <w:p>
            <w:pPr>
              <w:spacing w:line="180" w:lineRule="exact"/>
              <w:ind w:firstLine="360" w:firstLineChars="200"/>
              <w:rPr>
                <w:rFonts w:ascii="宋体"/>
                <w:color w:val="auto"/>
                <w:sz w:val="18"/>
                <w:szCs w:val="18"/>
                <w:highlight w:val="none"/>
              </w:rPr>
            </w:pPr>
            <w:r>
              <w:rPr>
                <w:rFonts w:hint="eastAsia" w:ascii="宋体" w:hAnsi="宋体" w:cs="宋体"/>
                <w:color w:val="auto"/>
                <w:sz w:val="18"/>
                <w:szCs w:val="18"/>
                <w:highlight w:val="none"/>
              </w:rPr>
              <w:t>待遇</w:t>
            </w:r>
          </w:p>
          <w:p>
            <w:pPr>
              <w:spacing w:line="180" w:lineRule="exact"/>
              <w:jc w:val="center"/>
              <w:rPr>
                <w:rFonts w:ascii="宋体"/>
                <w:color w:val="auto"/>
                <w:sz w:val="18"/>
                <w:szCs w:val="18"/>
                <w:highlight w:val="none"/>
              </w:rPr>
            </w:pPr>
          </w:p>
          <w:p>
            <w:pPr>
              <w:spacing w:line="180" w:lineRule="exact"/>
              <w:rPr>
                <w:rFonts w:ascii="宋体" w:hAnsi="宋体" w:cs="宋体"/>
                <w:color w:val="auto"/>
                <w:sz w:val="18"/>
                <w:szCs w:val="18"/>
                <w:highlight w:val="none"/>
              </w:rPr>
            </w:pPr>
            <w:r>
              <w:rPr>
                <w:rFonts w:hint="eastAsia" w:ascii="宋体" w:hAnsi="宋体" w:cs="宋体"/>
                <w:color w:val="auto"/>
                <w:sz w:val="18"/>
                <w:szCs w:val="18"/>
                <w:highlight w:val="none"/>
              </w:rPr>
              <w:t>参保</w:t>
            </w:r>
          </w:p>
          <w:p>
            <w:pPr>
              <w:spacing w:line="180" w:lineRule="exact"/>
              <w:rPr>
                <w:rFonts w:ascii="宋体"/>
                <w:color w:val="auto"/>
                <w:sz w:val="18"/>
                <w:szCs w:val="18"/>
                <w:highlight w:val="none"/>
              </w:rPr>
            </w:pPr>
            <w:r>
              <w:rPr>
                <w:rFonts w:hint="eastAsia" w:ascii="宋体" w:hAnsi="宋体" w:cs="宋体"/>
                <w:color w:val="auto"/>
                <w:sz w:val="18"/>
                <w:szCs w:val="18"/>
                <w:highlight w:val="none"/>
              </w:rPr>
              <w:t>对象</w:t>
            </w:r>
          </w:p>
        </w:tc>
        <w:tc>
          <w:tcPr>
            <w:tcW w:w="1492" w:type="dxa"/>
            <w:gridSpan w:val="2"/>
            <w:vAlign w:val="bottom"/>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三级公立医院</w:t>
            </w:r>
          </w:p>
        </w:tc>
        <w:tc>
          <w:tcPr>
            <w:tcW w:w="1417" w:type="dxa"/>
            <w:gridSpan w:val="2"/>
            <w:vAlign w:val="bottom"/>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二级公立医院</w:t>
            </w:r>
          </w:p>
        </w:tc>
        <w:tc>
          <w:tcPr>
            <w:tcW w:w="1418" w:type="dxa"/>
            <w:gridSpan w:val="2"/>
            <w:vAlign w:val="bottom"/>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一级公立医院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jc w:val="center"/>
        </w:trPr>
        <w:tc>
          <w:tcPr>
            <w:tcW w:w="1060" w:type="dxa"/>
            <w:vMerge w:val="continue"/>
          </w:tcPr>
          <w:p>
            <w:pPr>
              <w:spacing w:line="180" w:lineRule="exact"/>
              <w:ind w:left="105" w:leftChars="50" w:firstLine="360" w:firstLineChars="200"/>
              <w:jc w:val="center"/>
              <w:rPr>
                <w:rFonts w:ascii="宋体"/>
                <w:color w:val="auto"/>
                <w:sz w:val="18"/>
                <w:szCs w:val="18"/>
                <w:highlight w:val="none"/>
              </w:rPr>
            </w:pPr>
          </w:p>
        </w:tc>
        <w:tc>
          <w:tcPr>
            <w:tcW w:w="803"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统筹支付比例</w:t>
            </w:r>
          </w:p>
        </w:tc>
        <w:tc>
          <w:tcPr>
            <w:tcW w:w="689"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个人负担比例</w:t>
            </w:r>
          </w:p>
        </w:tc>
        <w:tc>
          <w:tcPr>
            <w:tcW w:w="709"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统筹支付比例</w:t>
            </w:r>
          </w:p>
        </w:tc>
        <w:tc>
          <w:tcPr>
            <w:tcW w:w="708"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个人负担比例</w:t>
            </w:r>
          </w:p>
        </w:tc>
        <w:tc>
          <w:tcPr>
            <w:tcW w:w="709"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统筹支付比例</w:t>
            </w:r>
          </w:p>
        </w:tc>
        <w:tc>
          <w:tcPr>
            <w:tcW w:w="709"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个人负担比例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4" w:hRule="atLeast"/>
          <w:jc w:val="center"/>
        </w:trPr>
        <w:tc>
          <w:tcPr>
            <w:tcW w:w="1060" w:type="dxa"/>
            <w:vAlign w:val="center"/>
          </w:tcPr>
          <w:p>
            <w:pPr>
              <w:spacing w:line="180" w:lineRule="exact"/>
              <w:ind w:left="105" w:leftChars="50"/>
              <w:jc w:val="center"/>
              <w:rPr>
                <w:rFonts w:ascii="宋体"/>
                <w:color w:val="auto"/>
                <w:sz w:val="18"/>
                <w:szCs w:val="18"/>
                <w:highlight w:val="none"/>
              </w:rPr>
            </w:pPr>
            <w:r>
              <w:rPr>
                <w:rFonts w:hint="eastAsia" w:ascii="宋体"/>
                <w:color w:val="auto"/>
                <w:sz w:val="18"/>
                <w:szCs w:val="18"/>
                <w:highlight w:val="none"/>
              </w:rPr>
              <w:t>福州市城乡居民</w:t>
            </w:r>
          </w:p>
        </w:tc>
        <w:tc>
          <w:tcPr>
            <w:tcW w:w="803"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55</w:t>
            </w:r>
            <w:r>
              <w:rPr>
                <w:rFonts w:ascii="宋体" w:hAnsi="宋体" w:cs="宋体"/>
                <w:color w:val="auto"/>
                <w:sz w:val="18"/>
                <w:szCs w:val="18"/>
                <w:highlight w:val="none"/>
              </w:rPr>
              <w:t>%</w:t>
            </w:r>
          </w:p>
        </w:tc>
        <w:tc>
          <w:tcPr>
            <w:tcW w:w="689"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45</w:t>
            </w:r>
            <w:r>
              <w:rPr>
                <w:rFonts w:ascii="宋体" w:hAnsi="宋体" w:cs="宋体"/>
                <w:color w:val="auto"/>
                <w:sz w:val="18"/>
                <w:szCs w:val="18"/>
                <w:highlight w:val="none"/>
              </w:rPr>
              <w:t>%</w:t>
            </w:r>
          </w:p>
        </w:tc>
        <w:tc>
          <w:tcPr>
            <w:tcW w:w="709"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70</w:t>
            </w:r>
            <w:r>
              <w:rPr>
                <w:rFonts w:ascii="宋体" w:hAnsi="宋体" w:cs="宋体"/>
                <w:color w:val="auto"/>
                <w:sz w:val="18"/>
                <w:szCs w:val="18"/>
                <w:highlight w:val="none"/>
              </w:rPr>
              <w:t>%</w:t>
            </w:r>
          </w:p>
        </w:tc>
        <w:tc>
          <w:tcPr>
            <w:tcW w:w="708"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30</w:t>
            </w:r>
            <w:r>
              <w:rPr>
                <w:rFonts w:ascii="宋体" w:hAnsi="宋体" w:cs="宋体"/>
                <w:color w:val="auto"/>
                <w:sz w:val="18"/>
                <w:szCs w:val="18"/>
                <w:highlight w:val="none"/>
              </w:rPr>
              <w:t>%</w:t>
            </w:r>
          </w:p>
        </w:tc>
        <w:tc>
          <w:tcPr>
            <w:tcW w:w="709"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75</w:t>
            </w:r>
            <w:r>
              <w:rPr>
                <w:rFonts w:ascii="宋体" w:hAnsi="宋体" w:cs="宋体"/>
                <w:color w:val="auto"/>
                <w:sz w:val="18"/>
                <w:szCs w:val="18"/>
                <w:highlight w:val="none"/>
              </w:rPr>
              <w:t>%</w:t>
            </w:r>
          </w:p>
        </w:tc>
        <w:tc>
          <w:tcPr>
            <w:tcW w:w="709" w:type="dxa"/>
            <w:vAlign w:val="center"/>
          </w:tcPr>
          <w:p>
            <w:pPr>
              <w:spacing w:line="180" w:lineRule="exact"/>
              <w:ind w:left="105" w:leftChars="50"/>
              <w:jc w:val="center"/>
              <w:rPr>
                <w:rFonts w:ascii="宋体"/>
                <w:color w:val="auto"/>
                <w:sz w:val="18"/>
                <w:szCs w:val="18"/>
                <w:highlight w:val="none"/>
              </w:rPr>
            </w:pPr>
            <w:r>
              <w:rPr>
                <w:rFonts w:hint="eastAsia" w:ascii="宋体" w:hAnsi="宋体" w:cs="宋体"/>
                <w:color w:val="auto"/>
                <w:sz w:val="18"/>
                <w:szCs w:val="18"/>
                <w:highlight w:val="none"/>
              </w:rPr>
              <w:t>25</w:t>
            </w:r>
            <w:r>
              <w:rPr>
                <w:rFonts w:ascii="宋体" w:hAnsi="宋体" w:cs="宋体"/>
                <w:color w:val="auto"/>
                <w:sz w:val="18"/>
                <w:szCs w:val="18"/>
                <w:highlight w:val="none"/>
              </w:rPr>
              <w:t>%</w:t>
            </w:r>
          </w:p>
        </w:tc>
      </w:tr>
    </w:tbl>
    <w:p>
      <w:pPr>
        <w:widowControl/>
        <w:spacing w:line="250" w:lineRule="exact"/>
        <w:jc w:val="left"/>
        <w:outlineLvl w:val="0"/>
        <w:rPr>
          <w:rFonts w:cs="宋体"/>
          <w:color w:val="auto"/>
          <w:highlight w:val="none"/>
        </w:rPr>
      </w:pPr>
    </w:p>
    <w:p>
      <w:pPr>
        <w:widowControl/>
        <w:spacing w:line="250" w:lineRule="exact"/>
        <w:ind w:firstLine="422" w:firstLineChars="200"/>
        <w:jc w:val="left"/>
        <w:outlineLvl w:val="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（四）大病补偿待遇</w:t>
      </w:r>
    </w:p>
    <w:p>
      <w:pPr>
        <w:widowControl/>
        <w:spacing w:line="290" w:lineRule="exact"/>
        <w:ind w:firstLine="315" w:firstLineChars="15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一个参保年度内，城乡居民医保参保人员因患大病发生的个人负担的医保目录内住院及门诊特殊病种医疗费用，超过19360元部分，保额30万元，10万以内赔付比例70%、10万至30万赔付比例80%。</w:t>
      </w:r>
    </w:p>
    <w:p>
      <w:pPr>
        <w:widowControl/>
        <w:spacing w:line="250" w:lineRule="exact"/>
        <w:ind w:firstLine="422" w:firstLineChars="200"/>
        <w:jc w:val="left"/>
        <w:outlineLvl w:val="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六、门诊特殊病种和治疗项目备案登记</w:t>
      </w:r>
    </w:p>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由有资质认定的定点医院具备相应专科主治及以上职称的医生,填写</w:t>
      </w:r>
      <w:r>
        <w:rPr>
          <w:rFonts w:hint="eastAsia" w:asciiTheme="minorEastAsia" w:hAnsiTheme="minorEastAsia" w:eastAsiaTheme="minorEastAsia" w:cstheme="minorEastAsia"/>
          <w:color w:val="auto"/>
          <w:highlight w:val="none"/>
        </w:rPr>
        <w:t>《门诊慢特病病种待遇认定申请表》，定点医院医保办或医务科审核盖章。（1）线上备案：参保人员通过“福建医疗保障”微信小程序“业务经办-门诊慢特病病种申请”模块上传申请表，并填报申请信息向医保经办机构申请登记备案。（2）线下备案：参保人员携备案表向医保经办机构、医保驻医院服务站或乡镇（街道）便民服务中心医保窗口申请登记备案。</w:t>
      </w:r>
    </w:p>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资质认定医疗机构：高血压病、糖尿病由乡镇卫生院及以上级别医院；苯丙酮尿症由省妇幼保健院；重性精神病由定点精神病专科医院；抑郁症、帕金森病由三级定点医院；门诊危重病抢救的病种由各级医疗机构；其余门诊特殊病种由二级及以上定点医院，相关科室主治及以上医师认定。</w:t>
      </w:r>
    </w:p>
    <w:p>
      <w:pPr>
        <w:widowControl/>
        <w:spacing w:line="250" w:lineRule="exact"/>
        <w:ind w:firstLine="422" w:firstLineChars="200"/>
        <w:jc w:val="left"/>
        <w:outlineLvl w:val="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七、医疗费用结算</w:t>
      </w:r>
    </w:p>
    <w:p>
      <w:pPr>
        <w:widowControl/>
        <w:spacing w:line="250" w:lineRule="exact"/>
        <w:ind w:firstLine="422" w:firstLineChars="200"/>
        <w:jc w:val="left"/>
        <w:outlineLvl w:val="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（一）结算方式</w:t>
      </w:r>
    </w:p>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大学生在我市定点医疗机构就诊，应持医保电子凭证（医保码）或社会保障卡办理医保结算。</w:t>
      </w:r>
    </w:p>
    <w:p>
      <w:pPr>
        <w:widowControl/>
        <w:numPr>
          <w:ilvl w:val="0"/>
          <w:numId w:val="5"/>
        </w:numPr>
        <w:spacing w:line="250" w:lineRule="exact"/>
        <w:ind w:firstLine="422" w:firstLineChars="200"/>
        <w:jc w:val="left"/>
        <w:outlineLvl w:val="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手工报销</w:t>
      </w:r>
    </w:p>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因电脑发生故障、年度结转停机等情况未医保结算的，可手工报销结算医疗费。</w:t>
      </w:r>
    </w:p>
    <w:p>
      <w:pPr>
        <w:widowControl/>
        <w:numPr>
          <w:ilvl w:val="0"/>
          <w:numId w:val="6"/>
        </w:numPr>
        <w:spacing w:line="250" w:lineRule="exact"/>
        <w:ind w:firstLine="422" w:firstLineChars="200"/>
        <w:jc w:val="left"/>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普通门诊、特殊门诊费用报销所需材料：</w:t>
      </w:r>
      <w:r>
        <w:rPr>
          <w:rFonts w:hint="eastAsia" w:asciiTheme="minorEastAsia" w:hAnsiTheme="minorEastAsia" w:eastAsiaTheme="minorEastAsia" w:cstheme="minorEastAsia"/>
          <w:color w:val="auto"/>
          <w:highlight w:val="none"/>
        </w:rPr>
        <w:t>医院收费票据、门急诊费用清单、处方底方或门诊病历</w:t>
      </w:r>
      <w:r>
        <w:rPr>
          <w:rFonts w:hint="eastAsia" w:asciiTheme="minorEastAsia" w:hAnsiTheme="minorEastAsia" w:eastAsiaTheme="minorEastAsia" w:cstheme="minorEastAsia"/>
          <w:color w:val="auto"/>
          <w:highlight w:val="none"/>
          <w:lang w:eastAsia="zh-CN"/>
        </w:rPr>
        <w:t>。</w:t>
      </w:r>
      <w:bookmarkStart w:id="3" w:name="_GoBack"/>
      <w:bookmarkEnd w:id="3"/>
    </w:p>
    <w:p>
      <w:pPr>
        <w:widowControl/>
        <w:numPr>
          <w:numId w:val="0"/>
        </w:numPr>
        <w:spacing w:line="250" w:lineRule="exact"/>
        <w:ind w:firstLine="420" w:firstLineChars="200"/>
        <w:jc w:val="left"/>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2、住院医疗费用报销所需材料：</w:t>
      </w:r>
      <w:r>
        <w:rPr>
          <w:rFonts w:hint="eastAsia" w:asciiTheme="minorEastAsia" w:hAnsiTheme="minorEastAsia" w:eastAsiaTheme="minorEastAsia" w:cstheme="minorEastAsia"/>
          <w:color w:val="auto"/>
          <w:highlight w:val="none"/>
        </w:rPr>
        <w:t>医院收费票据、住院费用清单、出院小结或诊断证明</w:t>
      </w:r>
      <w:r>
        <w:rPr>
          <w:rFonts w:hint="eastAsia" w:asciiTheme="minorEastAsia" w:hAnsiTheme="minorEastAsia" w:eastAsiaTheme="minorEastAsia" w:cstheme="minorEastAsia"/>
          <w:color w:val="auto"/>
          <w:highlight w:val="none"/>
          <w:lang w:eastAsia="zh-CN"/>
        </w:rPr>
        <w:t>。</w:t>
      </w:r>
    </w:p>
    <w:p>
      <w:pPr>
        <w:widowControl/>
        <w:spacing w:line="250" w:lineRule="exact"/>
        <w:ind w:firstLine="422"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外伤住院治疗</w:t>
      </w:r>
      <w:r>
        <w:rPr>
          <w:rFonts w:hint="eastAsia" w:asciiTheme="minorEastAsia" w:hAnsiTheme="minorEastAsia" w:eastAsiaTheme="minorEastAsia" w:cstheme="minorEastAsia"/>
          <w:color w:val="auto"/>
          <w:highlight w:val="none"/>
        </w:rPr>
        <w:t>需提供《福州市基本医疗保险参保人员外伤住院报备表》、门诊病历、入院记录、本人身份证或代理人身份证原件及复印件，到鼓楼或各县管理部外伤审批窗口审核后，才可办理医保结算。</w:t>
      </w:r>
    </w:p>
    <w:p>
      <w:pPr>
        <w:widowControl/>
        <w:spacing w:line="250" w:lineRule="exact"/>
        <w:ind w:firstLine="420" w:firstLineChars="200"/>
        <w:jc w:val="left"/>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★上述医院材料均需医院盖章。</w:t>
      </w:r>
    </w:p>
    <w:p>
      <w:pPr>
        <w:spacing w:line="250" w:lineRule="exact"/>
        <w:ind w:firstLine="422"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八、异地就医管理</w:t>
      </w:r>
    </w:p>
    <w:p>
      <w:pPr>
        <w:spacing w:line="250" w:lineRule="exact"/>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（一）异地就医流程：</w:t>
      </w:r>
      <w:r>
        <w:rPr>
          <w:rFonts w:hint="eastAsia" w:asciiTheme="minorEastAsia" w:hAnsiTheme="minorEastAsia" w:eastAsiaTheme="minorEastAsia" w:cstheme="minorEastAsia"/>
          <w:color w:val="auto"/>
          <w:highlight w:val="none"/>
        </w:rPr>
        <w:t>先备案→选定点→持码卡就医。</w:t>
      </w:r>
    </w:p>
    <w:p>
      <w:pPr>
        <w:widowControl/>
        <w:spacing w:line="250" w:lineRule="exact"/>
        <w:ind w:firstLine="420" w:firstLineChars="200"/>
        <w:rPr>
          <w:rFonts w:cs="宋体"/>
          <w:color w:val="auto"/>
          <w:highlight w:val="none"/>
        </w:rPr>
      </w:pPr>
      <w:r>
        <w:rPr>
          <w:rFonts w:hint="eastAsia" w:cs="宋体"/>
          <w:color w:val="auto"/>
          <w:highlight w:val="none"/>
        </w:rPr>
        <w:t>可通过国家医保服务平台、“福建医疗保障”微信小程序、闽政通和e福州“医保服务”专区等，及所属管理部传真、电话、服务窗口、乡镇（街道）便民服务中心基层服务点申报办理。</w:t>
      </w:r>
    </w:p>
    <w:p>
      <w:pPr>
        <w:spacing w:line="250" w:lineRule="exact"/>
        <w:ind w:firstLine="422"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（二）异地就医类型</w:t>
      </w:r>
    </w:p>
    <w:p>
      <w:pPr>
        <w:spacing w:line="250" w:lineRule="exact"/>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1.省内</w:t>
      </w:r>
      <w:r>
        <w:rPr>
          <w:rFonts w:hint="eastAsia" w:asciiTheme="minorEastAsia" w:hAnsiTheme="minorEastAsia" w:eastAsiaTheme="minorEastAsia" w:cstheme="minorEastAsia"/>
          <w:color w:val="auto"/>
          <w:highlight w:val="none"/>
        </w:rPr>
        <w:t>：选择在全省联网定点医疗机构就医的，其普通门诊、住院治疗实行免报备即时刷卡结算，门诊特殊病种按规定进行备案登记后可即时刷卡结算。</w:t>
      </w:r>
    </w:p>
    <w:p>
      <w:pPr>
        <w:spacing w:line="250" w:lineRule="exact"/>
        <w:ind w:firstLine="422"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 省外（限住院和门诊特殊病种）：</w:t>
      </w:r>
    </w:p>
    <w:p>
      <w:pPr>
        <w:spacing w:line="250" w:lineRule="exact"/>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（1）跨省异地长期居住：</w:t>
      </w:r>
      <w:r>
        <w:rPr>
          <w:rFonts w:hint="eastAsia" w:asciiTheme="minorEastAsia" w:hAnsiTheme="minorEastAsia" w:eastAsiaTheme="minorEastAsia" w:cstheme="minorEastAsia"/>
          <w:color w:val="auto"/>
          <w:highlight w:val="none"/>
        </w:rPr>
        <w:t>大学生寒暑假、因病休学期间以及在学校规定的教育实习、课题研究、社会调查等期间居住在省外的，由所在学校（或个人）向医保中心登记备案后，方可到居住地的医疗保险定点医疗机构就诊（在国外或境外就医，医疗保险基金不予支付）。</w:t>
      </w:r>
    </w:p>
    <w:p>
      <w:pPr>
        <w:spacing w:line="25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参保学生可以由学校统一办理异地安置备案，选择就医地市为备案安置地（其中安置到北京、天津、上海、重庆、海南、西藏和新疆兵团的，备案到就医省份），填报</w:t>
      </w:r>
      <w:r>
        <w:rPr>
          <w:rFonts w:hint="eastAsia" w:asciiTheme="minorEastAsia" w:hAnsiTheme="minorEastAsia" w:eastAsiaTheme="minorEastAsia" w:cstheme="minorEastAsia"/>
          <w:color w:val="auto"/>
          <w:highlight w:val="none"/>
        </w:rPr>
        <w:t>《异地就医登记备案表》（个人申报）或《福州市大学生异地安置备案登记明细表》(学校申报)，办理异地安置备案。备案后，在安置地全国联网定点医疗机构住院、特殊门诊（针对已开通跨省</w:t>
      </w:r>
      <w:r>
        <w:rPr>
          <w:rFonts w:hint="eastAsia" w:asciiTheme="minorEastAsia" w:hAnsiTheme="minorEastAsia" w:eastAsiaTheme="minorEastAsia" w:cstheme="minorEastAsia"/>
          <w:color w:val="auto"/>
          <w:highlight w:val="none"/>
        </w:rPr>
        <w:t>门诊直接结算医院）就医可</w:t>
      </w:r>
      <w:bookmarkStart w:id="1" w:name="_Hlk144540964"/>
      <w:r>
        <w:rPr>
          <w:rFonts w:hint="eastAsia" w:asciiTheme="minorEastAsia" w:hAnsiTheme="minorEastAsia" w:eastAsiaTheme="minorEastAsia" w:cstheme="minorEastAsia"/>
          <w:color w:val="auto"/>
          <w:highlight w:val="none"/>
        </w:rPr>
        <w:t>即时</w:t>
      </w:r>
      <w:bookmarkEnd w:id="1"/>
      <w:r>
        <w:rPr>
          <w:rFonts w:hint="eastAsia" w:asciiTheme="minorEastAsia" w:hAnsiTheme="minorEastAsia" w:eastAsiaTheme="minorEastAsia" w:cstheme="minorEastAsia"/>
          <w:color w:val="auto"/>
          <w:highlight w:val="none"/>
        </w:rPr>
        <w:t>医保结算，在参保地仍可继续即时医保结算。</w:t>
      </w:r>
    </w:p>
    <w:p>
      <w:pPr>
        <w:spacing w:line="250" w:lineRule="exact"/>
        <w:ind w:firstLine="422"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（2）跨省临时外出就医人员（</w:t>
      </w:r>
      <w:r>
        <w:rPr>
          <w:rFonts w:hint="eastAsia" w:ascii="楷体" w:hAnsi="楷体" w:eastAsia="楷体" w:cs="楷体"/>
          <w:b/>
          <w:bCs/>
          <w:color w:val="auto"/>
          <w:highlight w:val="none"/>
        </w:rPr>
        <w:t>即申即享）</w:t>
      </w:r>
    </w:p>
    <w:p>
      <w:pPr>
        <w:spacing w:line="250" w:lineRule="exact"/>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○异地转诊人员：</w:t>
      </w:r>
      <w:r>
        <w:rPr>
          <w:rFonts w:hint="eastAsia" w:asciiTheme="minorEastAsia" w:hAnsiTheme="minorEastAsia" w:eastAsiaTheme="minorEastAsia" w:cstheme="minorEastAsia"/>
          <w:color w:val="auto"/>
          <w:highlight w:val="none"/>
        </w:rPr>
        <w:t>参保人员因病情需要转异地就医的，参保人员持</w:t>
      </w:r>
      <w:bookmarkStart w:id="2" w:name="_Hlk144539241"/>
      <w:r>
        <w:rPr>
          <w:rFonts w:hint="eastAsia" w:cs="宋体"/>
          <w:color w:val="auto"/>
          <w:highlight w:val="none"/>
        </w:rPr>
        <w:t>医保电子凭证（医保码）或</w:t>
      </w:r>
      <w:bookmarkEnd w:id="2"/>
      <w:r>
        <w:rPr>
          <w:rFonts w:hint="eastAsia" w:asciiTheme="minorEastAsia" w:hAnsiTheme="minorEastAsia" w:eastAsiaTheme="minorEastAsia" w:cstheme="minorEastAsia"/>
          <w:color w:val="auto"/>
          <w:highlight w:val="none"/>
        </w:rPr>
        <w:t>社会保障卡或身份证，进</w:t>
      </w:r>
      <w:r>
        <w:rPr>
          <w:rFonts w:hint="eastAsia" w:asciiTheme="minorEastAsia" w:hAnsiTheme="minorEastAsia" w:eastAsiaTheme="minorEastAsia" w:cstheme="minorEastAsia"/>
          <w:color w:val="auto"/>
          <w:highlight w:val="none"/>
        </w:rPr>
        <w:t>行备案登记；备案登记后在安置地住院、特殊门诊（针对已开通跨省门诊直接结算医院）就医可即时刷卡结算。跨省转诊转院备案有效期为六个月，备案有效期内办理入院手续的，无论本次出院日期是否超出备案有效期，均属于有效备案。</w:t>
      </w:r>
    </w:p>
    <w:p>
      <w:pPr>
        <w:spacing w:line="250" w:lineRule="exact"/>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○跨省临时外出人员：</w:t>
      </w:r>
      <w:r>
        <w:rPr>
          <w:rFonts w:hint="eastAsia" w:asciiTheme="minorEastAsia" w:hAnsiTheme="minorEastAsia" w:eastAsiaTheme="minorEastAsia" w:cstheme="minorEastAsia"/>
          <w:color w:val="auto"/>
          <w:highlight w:val="none"/>
        </w:rPr>
        <w:t>参保人员因外出工作、旅游等原因发生异地急诊抢救的，可提供</w:t>
      </w:r>
      <w:r>
        <w:rPr>
          <w:rFonts w:hint="eastAsia" w:cs="宋体"/>
          <w:color w:val="auto"/>
          <w:highlight w:val="none"/>
        </w:rPr>
        <w:t>医保电子凭证（医保码）或</w:t>
      </w:r>
      <w:r>
        <w:rPr>
          <w:rFonts w:hint="eastAsia" w:asciiTheme="minorEastAsia" w:hAnsiTheme="minorEastAsia" w:eastAsiaTheme="minorEastAsia" w:cstheme="minorEastAsia"/>
          <w:color w:val="auto"/>
          <w:highlight w:val="none"/>
        </w:rPr>
        <w:t>社会保障卡或身份证，填报《异地就医登记备案表》，办理备案登记，备案有效期为六个月。备案后急诊医疗费用可直接刷卡结算。</w:t>
      </w:r>
    </w:p>
    <w:p>
      <w:pPr>
        <w:spacing w:line="25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除了急诊和抢救外，跨省异地就医参保人员未事先备案，自费结算后申请医保手工（零星）报销的，统筹基金支付比例降低5个百分点。在非医保定点机构发生的医疗费用医保基金不予支付。</w:t>
      </w:r>
    </w:p>
    <w:p>
      <w:pPr>
        <w:spacing w:line="25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参保人员跨省就医出院结算前补办异地就医备案的，可在异地联网定点医疗机构办理医疗费用跨省直接结算。</w:t>
      </w:r>
    </w:p>
    <w:p>
      <w:pPr>
        <w:spacing w:line="250" w:lineRule="exact"/>
        <w:rPr>
          <w:rFonts w:asciiTheme="minorEastAsia" w:hAnsiTheme="minorEastAsia" w:eastAsiaTheme="minorEastAsia" w:cstheme="minorEastAsia"/>
          <w:color w:val="auto"/>
          <w:highlight w:val="none"/>
        </w:rPr>
      </w:pPr>
    </w:p>
    <w:p>
      <w:pPr>
        <w:spacing w:line="25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★重要提示</w:t>
      </w:r>
    </w:p>
    <w:p>
      <w:pPr>
        <w:spacing w:line="25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选择在全国联网定点医疗机构就医的，备案登记后即时刷卡结算的，执行就医地医保目录，参保地报销政策；未即时刷卡需要手工结算的按我市基本医保政策手工报销。选择在非全国联网定点医疗机构就医的，其就医发生的住院及门诊特殊病种医疗费用按我市基本医保政策进行手工报销。</w:t>
      </w:r>
    </w:p>
    <w:p>
      <w:pPr>
        <w:spacing w:line="25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○由于参保地和就医地的医保目录不同，不同结算方式，会造成医保待遇的差异，符合条件的应刷卡结算。</w:t>
      </w:r>
    </w:p>
    <w:p>
      <w:pPr>
        <w:spacing w:line="25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○参保人员外出异地就医发生的无第三方责任、非工伤情况外伤费用，在填写《外伤无第三方责任承诺书》后，可纳入异地就医直接结算范围。</w:t>
      </w:r>
    </w:p>
    <w:p>
      <w:pPr>
        <w:spacing w:line="250" w:lineRule="exact"/>
        <w:ind w:firstLine="422"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九、医保电子凭证及社会保障卡申领</w:t>
      </w:r>
    </w:p>
    <w:p>
      <w:pPr>
        <w:spacing w:line="250" w:lineRule="exact"/>
        <w:ind w:firstLine="420" w:firstLineChars="200"/>
        <w:jc w:val="left"/>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医保电子凭证由国家医保信息平台统一激活，是线上医保业务的唯一身份凭证，全国通用，可通过“国家医保服务平台”APP或“福州市医疗保障局”微信公众号激活办理。凭医保电子凭证（医保码）可办理医保业务、医保结算、医保移动支付等。</w:t>
      </w:r>
    </w:p>
    <w:p>
      <w:pPr>
        <w:spacing w:line="250" w:lineRule="exact"/>
        <w:ind w:firstLine="420" w:firstLineChars="200"/>
        <w:jc w:val="left"/>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我市参保人可持有效身份证件前往各大社保卡承办银行办理社保卡申领、补换业务。首次申领或换发第三代社保卡免费。参保人可持社保卡就医，“一站式”刷卡结算。</w:t>
      </w:r>
    </w:p>
    <w:p>
      <w:pPr>
        <w:spacing w:line="250" w:lineRule="exact"/>
        <w:ind w:firstLine="422" w:firstLineChars="200"/>
        <w:jc w:val="left"/>
        <w:rPr>
          <w:rFonts w:cs="Times New Roman"/>
          <w:b/>
          <w:bCs/>
          <w:color w:val="auto"/>
          <w:highlight w:val="none"/>
        </w:rPr>
      </w:pPr>
      <w:r>
        <w:rPr>
          <w:rFonts w:hint="eastAsia" w:ascii="宋体" w:hAnsi="宋体"/>
          <w:b/>
          <w:bCs/>
          <w:color w:val="auto"/>
          <w:highlight w:val="none"/>
        </w:rPr>
        <w:t>十</w:t>
      </w:r>
      <w:r>
        <w:rPr>
          <w:rFonts w:hint="eastAsia" w:cs="宋体"/>
          <w:b/>
          <w:bCs/>
          <w:color w:val="auto"/>
          <w:highlight w:val="none"/>
        </w:rPr>
        <w:t>、</w:t>
      </w:r>
      <w:r>
        <w:rPr>
          <w:rFonts w:hint="eastAsia" w:cs="宋体"/>
          <w:b/>
          <w:color w:val="auto"/>
          <w:highlight w:val="none"/>
        </w:rPr>
        <w:t>网办医保业务和查询办事指南的途径</w:t>
      </w:r>
    </w:p>
    <w:p>
      <w:pPr>
        <w:spacing w:line="250" w:lineRule="exact"/>
        <w:ind w:firstLine="420" w:firstLineChars="200"/>
        <w:jc w:val="left"/>
        <w:rPr>
          <w:rFonts w:cs="宋体"/>
          <w:color w:val="auto"/>
          <w:highlight w:val="none"/>
        </w:rPr>
      </w:pPr>
      <w:r>
        <w:rPr>
          <w:rFonts w:hint="eastAsia" w:ascii="宋体" w:hAnsi="宋体" w:cs="宋体"/>
          <w:bCs/>
          <w:color w:val="auto"/>
          <w:highlight w:val="none"/>
        </w:rPr>
        <w:t>闽政通APP;</w:t>
      </w:r>
      <w:r>
        <w:rPr>
          <w:rFonts w:hint="eastAsia" w:ascii="宋体" w:hAnsi="宋体" w:cs="宋体"/>
          <w:color w:val="auto"/>
          <w:highlight w:val="none"/>
        </w:rPr>
        <w:t>“福建医疗保障”微信小程序；</w:t>
      </w:r>
      <w:r>
        <w:rPr>
          <w:rFonts w:hint="eastAsia" w:ascii="宋体" w:hAnsi="宋体" w:cs="宋体"/>
          <w:bCs/>
          <w:color w:val="auto"/>
          <w:highlight w:val="none"/>
        </w:rPr>
        <w:t>“e福州”APP;福建省网上办事大厅→我要办→部门服务→市医保中心（服务地切换为福州市）；福建医保服务平台（open.ybj.fujian.gov.cn/fuwu/）;福州市人民政府网站→子站专题→</w:t>
      </w:r>
      <w:r>
        <w:rPr>
          <w:rFonts w:hint="eastAsia" w:ascii="宋体" w:hAnsi="宋体" w:cs="宋体"/>
          <w:bCs/>
          <w:color w:val="auto"/>
          <w:highlight w:val="none"/>
        </w:rPr>
        <w:t>福州市医疗保障基金中心</w:t>
      </w:r>
      <w:r>
        <w:rPr>
          <w:rFonts w:hint="eastAsia" w:ascii="宋体" w:hAnsi="宋体" w:cs="宋体"/>
          <w:bCs/>
          <w:color w:val="auto"/>
          <w:highlight w:val="none"/>
        </w:rPr>
        <w:t>；“福州市医疗保障局”微信公众号等。</w:t>
      </w:r>
    </w:p>
    <w:p>
      <w:pPr>
        <w:spacing w:line="250" w:lineRule="exact"/>
        <w:ind w:firstLine="420" w:firstLineChars="200"/>
        <w:rPr>
          <w:rFonts w:ascii="宋体" w:hAnsi="宋体" w:cs="宋体"/>
          <w:bCs/>
          <w:color w:val="auto"/>
          <w:sz w:val="18"/>
          <w:szCs w:val="18"/>
          <w:highlight w:val="none"/>
        </w:rPr>
      </w:pPr>
      <w:r>
        <w:rPr>
          <w:rFonts w:hint="eastAsia" w:asciiTheme="minorEastAsia" w:hAnsiTheme="minorEastAsia" w:eastAsiaTheme="minorEastAsia" w:cstheme="minorEastAsia"/>
          <w:color w:val="auto"/>
          <w:highlight w:val="none"/>
        </w:rPr>
        <w:t>更多城乡居民医保政策可关注微信公众号"福州市医疗保障局"了解或拨打咨询电话：</w:t>
      </w:r>
      <w:r>
        <w:rPr>
          <w:rFonts w:hint="eastAsia" w:asciiTheme="minorEastAsia" w:hAnsiTheme="minorEastAsia" w:eastAsiaTheme="minorEastAsia" w:cstheme="minorEastAsia"/>
          <w:color w:val="auto"/>
          <w:highlight w:val="none"/>
        </w:rPr>
        <w:t>12345转福州市医保</w:t>
      </w:r>
      <w:r>
        <w:rPr>
          <w:rFonts w:hint="eastAsia" w:asciiTheme="minorEastAsia" w:hAnsiTheme="minorEastAsia" w:eastAsiaTheme="minorEastAsia" w:cstheme="minorEastAsia"/>
          <w:color w:val="auto"/>
          <w:highlight w:val="none"/>
        </w:rPr>
        <w:t>。城乡居民医保缴费事宜可关注微信公众号“福建税务”了解或拨打咨询电话：12366(纳税服务)。</w:t>
      </w:r>
      <w:r>
        <w:rPr>
          <w:rFonts w:hint="eastAsia" w:ascii="宋体" w:hAnsi="宋体" w:cs="宋体"/>
          <w:bCs/>
          <w:color w:val="auto"/>
          <w:sz w:val="18"/>
          <w:szCs w:val="18"/>
          <w:highlight w:val="none"/>
        </w:rPr>
        <w:t>（上述政策如有错漏以正式文件为准）。</w:t>
      </w:r>
    </w:p>
    <w:p>
      <w:pPr>
        <w:pStyle w:val="3"/>
        <w:rPr>
          <w:color w:val="auto"/>
          <w:sz w:val="21"/>
          <w:szCs w:val="21"/>
          <w:highlight w:val="none"/>
        </w:rPr>
      </w:pPr>
    </w:p>
    <w:p>
      <w:pPr>
        <w:pStyle w:val="3"/>
        <w:ind w:firstLine="560"/>
        <w:rPr>
          <w:rFonts w:cs="宋体"/>
          <w:color w:val="auto"/>
          <w:sz w:val="13"/>
          <w:szCs w:val="15"/>
          <w:highlight w:val="none"/>
        </w:rPr>
      </w:pPr>
      <w:r>
        <w:rPr>
          <w:color w:val="auto"/>
          <w:highlight w:val="none"/>
        </w:rPr>
        <w:drawing>
          <wp:inline distT="0" distB="0" distL="0" distR="0">
            <wp:extent cx="1193800" cy="9715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95562" cy="972984"/>
                    </a:xfrm>
                    <a:prstGeom prst="rect">
                      <a:avLst/>
                    </a:prstGeom>
                    <a:noFill/>
                    <a:ln>
                      <a:noFill/>
                    </a:ln>
                  </pic:spPr>
                </pic:pic>
              </a:graphicData>
            </a:graphic>
          </wp:inline>
        </w:drawing>
      </w:r>
      <w:r>
        <w:rPr>
          <w:rFonts w:hint="eastAsia"/>
          <w:color w:val="auto"/>
          <w:highlight w:val="none"/>
        </w:rPr>
        <w:t xml:space="preserve">    </w:t>
      </w:r>
      <w:r>
        <w:rPr>
          <w:rFonts w:hint="eastAsia" w:cs="宋体"/>
          <w:color w:val="auto"/>
          <w:sz w:val="13"/>
          <w:szCs w:val="15"/>
          <w:highlight w:val="none"/>
        </w:rPr>
        <w:t xml:space="preserve"> </w:t>
      </w:r>
      <w:r>
        <w:rPr>
          <w:rFonts w:cs="宋体"/>
          <w:color w:val="auto"/>
          <w:sz w:val="13"/>
          <w:szCs w:val="15"/>
          <w:highlight w:val="none"/>
        </w:rPr>
        <w:drawing>
          <wp:inline distT="0" distB="0" distL="114300" distR="114300">
            <wp:extent cx="888365" cy="888365"/>
            <wp:effectExtent l="0" t="0" r="6985" b="6985"/>
            <wp:docPr id="1" name="图片 1" descr="小程序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程序二维码"/>
                    <pic:cNvPicPr>
                      <a:picLocks noChangeAspect="1"/>
                    </pic:cNvPicPr>
                  </pic:nvPicPr>
                  <pic:blipFill>
                    <a:blip r:embed="rId5"/>
                    <a:stretch>
                      <a:fillRect/>
                    </a:stretch>
                  </pic:blipFill>
                  <pic:spPr>
                    <a:xfrm>
                      <a:off x="0" y="0"/>
                      <a:ext cx="888365" cy="888365"/>
                    </a:xfrm>
                    <a:prstGeom prst="rect">
                      <a:avLst/>
                    </a:prstGeom>
                  </pic:spPr>
                </pic:pic>
              </a:graphicData>
            </a:graphic>
          </wp:inline>
        </w:drawing>
      </w:r>
    </w:p>
    <w:p>
      <w:pPr>
        <w:pStyle w:val="3"/>
        <w:ind w:firstLine="723" w:firstLineChars="400"/>
        <w:rPr>
          <w:b/>
          <w:bCs/>
          <w:color w:val="auto"/>
          <w:highlight w:val="none"/>
        </w:rPr>
      </w:pPr>
      <w:r>
        <w:rPr>
          <w:rFonts w:hint="eastAsia" w:cs="宋体"/>
          <w:b/>
          <w:bCs/>
          <w:color w:val="auto"/>
          <w:sz w:val="18"/>
          <w:szCs w:val="20"/>
          <w:highlight w:val="none"/>
        </w:rPr>
        <w:t xml:space="preserve">医保轻松缴                   医保码上办  </w:t>
      </w:r>
      <w:r>
        <w:rPr>
          <w:rFonts w:hint="eastAsia" w:cs="宋体"/>
          <w:b/>
          <w:bCs/>
          <w:color w:val="auto"/>
          <w:sz w:val="13"/>
          <w:szCs w:val="15"/>
          <w:highlight w:val="none"/>
        </w:rPr>
        <w:t xml:space="preserve">    </w:t>
      </w:r>
    </w:p>
    <w:p>
      <w:pPr>
        <w:spacing w:line="360" w:lineRule="auto"/>
        <w:ind w:firstLine="720" w:firstLineChars="400"/>
        <w:rPr>
          <w:rFonts w:ascii="宋体" w:hAnsi="宋体" w:cs="宋体"/>
          <w:bCs/>
          <w:color w:val="auto"/>
          <w:sz w:val="18"/>
          <w:szCs w:val="18"/>
          <w:highlight w:val="none"/>
        </w:rPr>
      </w:pPr>
    </w:p>
    <w:p>
      <w:pPr>
        <w:snapToGrid w:val="0"/>
        <w:spacing w:line="360" w:lineRule="auto"/>
        <w:ind w:firstLine="390" w:firstLineChars="194"/>
        <w:rPr>
          <w:rFonts w:cs="宋体"/>
          <w:color w:val="auto"/>
          <w:sz w:val="16"/>
          <w:szCs w:val="18"/>
          <w:highlight w:val="none"/>
        </w:rPr>
      </w:pPr>
      <w:r>
        <w:rPr>
          <w:rFonts w:hint="eastAsia" w:cs="宋体"/>
          <w:b/>
          <w:bCs/>
          <w:color w:val="auto"/>
          <w:sz w:val="20"/>
          <w:highlight w:val="none"/>
        </w:rPr>
        <w:t>◆福州市医疗保障基金中心（</w:t>
      </w:r>
      <w:r>
        <w:rPr>
          <w:rFonts w:hint="eastAsia" w:cs="宋体"/>
          <w:color w:val="auto"/>
          <w:sz w:val="20"/>
          <w:highlight w:val="none"/>
        </w:rPr>
        <w:t>本部）（鼓楼区古田支路53号2层  咨询电话：12345转福州市医保 ）</w:t>
      </w:r>
    </w:p>
    <w:p>
      <w:pPr>
        <w:spacing w:line="360" w:lineRule="auto"/>
        <w:ind w:firstLine="271" w:firstLineChars="150"/>
        <w:rPr>
          <w:rFonts w:cs="宋体"/>
          <w:b/>
          <w:bCs/>
          <w:color w:val="auto"/>
          <w:sz w:val="18"/>
          <w:szCs w:val="20"/>
          <w:highlight w:val="none"/>
        </w:rPr>
      </w:pPr>
      <w:r>
        <w:rPr>
          <w:rFonts w:hint="eastAsia" w:cs="宋体"/>
          <w:b/>
          <w:bCs/>
          <w:color w:val="auto"/>
          <w:sz w:val="18"/>
          <w:szCs w:val="20"/>
          <w:highlight w:val="none"/>
        </w:rPr>
        <w:t>1、鼓楼管理部（福州市鼓楼区古田支路53号一层  传真:88609673）</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业务办理时间：周一至周五（除国家法定节日外）上午：8:30至12:00  下午：14:30至18:00</w:t>
      </w:r>
    </w:p>
    <w:p>
      <w:pPr>
        <w:ind w:firstLine="271" w:firstLineChars="150"/>
        <w:rPr>
          <w:rFonts w:cs="宋体"/>
          <w:b/>
          <w:bCs/>
          <w:color w:val="auto"/>
          <w:sz w:val="18"/>
          <w:szCs w:val="20"/>
          <w:highlight w:val="none"/>
        </w:rPr>
      </w:pPr>
      <w:r>
        <w:rPr>
          <w:rFonts w:hint="eastAsia" w:cs="宋体"/>
          <w:b/>
          <w:bCs/>
          <w:color w:val="auto"/>
          <w:sz w:val="18"/>
          <w:szCs w:val="20"/>
          <w:highlight w:val="none"/>
        </w:rPr>
        <w:t>2、台江管理部（福州市高桥路69号福州市政务服务中心一层   传真:88235259）</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业务办理时间：周一至周日（除国家法定节日外）上午：9:00至12:00   下午：13:30至17:30</w:t>
      </w:r>
    </w:p>
    <w:p>
      <w:pPr>
        <w:ind w:firstLine="271" w:firstLineChars="150"/>
        <w:rPr>
          <w:rFonts w:cs="宋体"/>
          <w:b/>
          <w:bCs/>
          <w:color w:val="auto"/>
          <w:sz w:val="18"/>
          <w:szCs w:val="20"/>
          <w:highlight w:val="none"/>
        </w:rPr>
      </w:pPr>
      <w:r>
        <w:rPr>
          <w:rFonts w:hint="eastAsia" w:cs="宋体"/>
          <w:b/>
          <w:bCs/>
          <w:color w:val="auto"/>
          <w:sz w:val="18"/>
          <w:szCs w:val="20"/>
          <w:highlight w:val="none"/>
        </w:rPr>
        <w:t>3、仓山管理部（福州市仓山区闽江大道236-2号仓山区政务服务中心一层 传真:83851830）</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业务办理时间：周一至周日（除国家法定节日外）上午：9:00至12:00  下午：13:30至17:30</w:t>
      </w:r>
    </w:p>
    <w:p>
      <w:pPr>
        <w:ind w:firstLine="271" w:firstLineChars="150"/>
        <w:rPr>
          <w:rFonts w:cs="宋体"/>
          <w:b/>
          <w:bCs/>
          <w:color w:val="auto"/>
          <w:sz w:val="18"/>
          <w:szCs w:val="20"/>
          <w:highlight w:val="none"/>
        </w:rPr>
      </w:pPr>
      <w:r>
        <w:rPr>
          <w:rFonts w:hint="eastAsia" w:cs="宋体"/>
          <w:b/>
          <w:bCs/>
          <w:color w:val="auto"/>
          <w:sz w:val="18"/>
          <w:szCs w:val="20"/>
          <w:highlight w:val="none"/>
        </w:rPr>
        <w:t>4、晋安管理部（福州市晋安区东二环泰禾广场soho C5座二楼晋安区</w:t>
      </w:r>
      <w:r>
        <w:rPr>
          <w:rFonts w:hint="eastAsia" w:cs="宋体"/>
          <w:b/>
          <w:bCs/>
          <w:color w:val="auto"/>
          <w:sz w:val="18"/>
          <w:szCs w:val="20"/>
          <w:highlight w:val="none"/>
          <w:lang w:eastAsia="zh-CN"/>
        </w:rPr>
        <w:t>政务</w:t>
      </w:r>
      <w:r>
        <w:rPr>
          <w:rFonts w:hint="eastAsia" w:cs="宋体"/>
          <w:b/>
          <w:bCs/>
          <w:color w:val="auto"/>
          <w:sz w:val="18"/>
          <w:szCs w:val="20"/>
          <w:highlight w:val="none"/>
        </w:rPr>
        <w:t>服务中心二层 传真:88609698）</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业务办理时间：周一至周日（除国家法定节日外）上午：9:00至12:00  下午：13:30至17:30</w:t>
      </w:r>
    </w:p>
    <w:p>
      <w:pPr>
        <w:ind w:firstLine="271" w:firstLineChars="150"/>
        <w:rPr>
          <w:rFonts w:cs="宋体"/>
          <w:b/>
          <w:bCs/>
          <w:color w:val="auto"/>
          <w:sz w:val="18"/>
          <w:szCs w:val="20"/>
          <w:highlight w:val="none"/>
        </w:rPr>
      </w:pPr>
      <w:r>
        <w:rPr>
          <w:rFonts w:hint="eastAsia" w:cs="宋体"/>
          <w:b/>
          <w:bCs/>
          <w:color w:val="auto"/>
          <w:sz w:val="18"/>
          <w:szCs w:val="20"/>
          <w:highlight w:val="none"/>
        </w:rPr>
        <w:t>5、马尾管理部（福州市马尾区湖里路27号马尾区政务服务中心一楼 传真:83984005）</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业务办理时间：周一至周五（除国家法定节日外）上午：9:00至12:00  下午：13:30至17:30</w:t>
      </w:r>
    </w:p>
    <w:p>
      <w:pPr>
        <w:ind w:firstLine="271" w:firstLineChars="150"/>
        <w:rPr>
          <w:rFonts w:cs="宋体"/>
          <w:b/>
          <w:bCs/>
          <w:color w:val="auto"/>
          <w:sz w:val="18"/>
          <w:szCs w:val="20"/>
          <w:highlight w:val="none"/>
        </w:rPr>
      </w:pPr>
      <w:r>
        <w:rPr>
          <w:rFonts w:hint="eastAsia" w:cs="宋体"/>
          <w:b/>
          <w:bCs/>
          <w:color w:val="auto"/>
          <w:sz w:val="18"/>
          <w:szCs w:val="20"/>
          <w:highlight w:val="none"/>
        </w:rPr>
        <w:t>6、长乐管理部（福州市长乐区首占镇和谐路57号财富广场长乐区政务服务中心（原区行政服务中心）二层 传真:28923677）</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业务办理时间：周一至周日（除国家法定节日外）上午：9:00至12:00  下午：13:30至17:30</w:t>
      </w:r>
    </w:p>
    <w:p>
      <w:pPr>
        <w:ind w:firstLine="271" w:firstLineChars="150"/>
        <w:rPr>
          <w:rFonts w:cs="宋体"/>
          <w:color w:val="auto"/>
          <w:sz w:val="18"/>
          <w:szCs w:val="20"/>
          <w:highlight w:val="none"/>
        </w:rPr>
      </w:pPr>
      <w:r>
        <w:rPr>
          <w:rFonts w:hint="eastAsia" w:cs="宋体"/>
          <w:b/>
          <w:bCs/>
          <w:color w:val="auto"/>
          <w:sz w:val="18"/>
          <w:szCs w:val="20"/>
          <w:highlight w:val="none"/>
        </w:rPr>
        <w:t>7、福清管理部（福清市清荣大道166号市侨乡博物馆一层（市民服务中心D区） 传真:85163732）</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业务办理时间：周一至周日（除国家法定节日外）上午：9:00至12:00  下午：13:30至17:30</w:t>
      </w:r>
    </w:p>
    <w:p>
      <w:pPr>
        <w:ind w:firstLine="271" w:firstLineChars="150"/>
        <w:rPr>
          <w:rFonts w:cs="宋体"/>
          <w:b/>
          <w:bCs/>
          <w:color w:val="auto"/>
          <w:sz w:val="18"/>
          <w:szCs w:val="20"/>
          <w:highlight w:val="none"/>
        </w:rPr>
      </w:pPr>
      <w:r>
        <w:rPr>
          <w:rFonts w:hint="eastAsia" w:cs="宋体"/>
          <w:b/>
          <w:bCs/>
          <w:color w:val="auto"/>
          <w:sz w:val="18"/>
          <w:szCs w:val="20"/>
          <w:highlight w:val="none"/>
        </w:rPr>
        <w:t>8、闽侯管理部（闽侯县甘蔗街道江滨路闽侯县政务服务中心（原县行政服务中心）一层 传真: 22076712）</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业务办理时间：周一至周日（除国家法定节日外）上午：9:00至12:00  下午：13:30至17:30.</w:t>
      </w:r>
    </w:p>
    <w:p>
      <w:pPr>
        <w:ind w:firstLine="271" w:firstLineChars="150"/>
        <w:rPr>
          <w:rFonts w:cs="宋体"/>
          <w:b/>
          <w:bCs/>
          <w:color w:val="auto"/>
          <w:sz w:val="18"/>
          <w:szCs w:val="20"/>
          <w:highlight w:val="none"/>
        </w:rPr>
      </w:pPr>
      <w:r>
        <w:rPr>
          <w:rFonts w:hint="eastAsia" w:cs="宋体"/>
          <w:b/>
          <w:bCs/>
          <w:color w:val="auto"/>
          <w:sz w:val="18"/>
          <w:szCs w:val="20"/>
          <w:highlight w:val="none"/>
        </w:rPr>
        <w:t>9、连江管理部（福州市连江县凤城镇文笔东路4号（五大中心）政务服务中心市民服务大厅一层  传真: 26185708）</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业务办理时间：周一至周日（除国家法定节日外）上午：9:00至12:00  下午：13:30至17:30</w:t>
      </w:r>
    </w:p>
    <w:p>
      <w:pPr>
        <w:ind w:firstLine="271" w:firstLineChars="150"/>
        <w:rPr>
          <w:rFonts w:cs="宋体"/>
          <w:b/>
          <w:bCs/>
          <w:color w:val="auto"/>
          <w:sz w:val="18"/>
          <w:szCs w:val="20"/>
          <w:highlight w:val="none"/>
        </w:rPr>
      </w:pPr>
      <w:r>
        <w:rPr>
          <w:rFonts w:hint="eastAsia" w:cs="宋体"/>
          <w:b/>
          <w:bCs/>
          <w:color w:val="auto"/>
          <w:sz w:val="18"/>
          <w:szCs w:val="20"/>
          <w:highlight w:val="none"/>
        </w:rPr>
        <w:t>10、永泰管理部（永泰县城峰镇刘岐村立塘66号万冠双子星大楼县政务服务中心（原县行政服务中心）二层 传真:24832998）</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业务办理时间：周一至周五（除国家法定节日外）上午：9:00至12:00  下午：13:30至17:30</w:t>
      </w:r>
    </w:p>
    <w:p>
      <w:pPr>
        <w:ind w:firstLine="271" w:firstLineChars="150"/>
        <w:rPr>
          <w:rFonts w:cs="宋体"/>
          <w:b/>
          <w:bCs/>
          <w:color w:val="auto"/>
          <w:sz w:val="18"/>
          <w:szCs w:val="20"/>
          <w:highlight w:val="none"/>
        </w:rPr>
      </w:pPr>
      <w:r>
        <w:rPr>
          <w:rFonts w:hint="eastAsia" w:cs="宋体"/>
          <w:b/>
          <w:bCs/>
          <w:color w:val="auto"/>
          <w:sz w:val="18"/>
          <w:szCs w:val="20"/>
          <w:highlight w:val="none"/>
        </w:rPr>
        <w:t>11、罗源管理部（罗源县凤山镇三中路9栋2号县政务服务中心（原县行政服务中心）二层 传真:26831912）</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业务办理时间：周一至周日（除国家法定节日外）上午：9:00至12:00  下午：13:30至17:30</w:t>
      </w:r>
    </w:p>
    <w:p>
      <w:pPr>
        <w:ind w:firstLine="271" w:firstLineChars="150"/>
        <w:rPr>
          <w:rFonts w:cs="宋体"/>
          <w:b/>
          <w:bCs/>
          <w:color w:val="auto"/>
          <w:sz w:val="18"/>
          <w:szCs w:val="20"/>
          <w:highlight w:val="none"/>
        </w:rPr>
      </w:pPr>
      <w:r>
        <w:rPr>
          <w:rFonts w:hint="eastAsia" w:cs="宋体"/>
          <w:b/>
          <w:bCs/>
          <w:color w:val="auto"/>
          <w:sz w:val="18"/>
          <w:szCs w:val="20"/>
          <w:highlight w:val="none"/>
        </w:rPr>
        <w:t>12、闽清管理部（闽清县梅城镇溪滨路1号县政务服务中心（原县行政服务中心）四层  传真: 62301885）</w:t>
      </w:r>
    </w:p>
    <w:p>
      <w:pPr>
        <w:ind w:firstLine="270" w:firstLineChars="150"/>
        <w:rPr>
          <w:rFonts w:cs="宋体"/>
          <w:color w:val="auto"/>
          <w:sz w:val="18"/>
          <w:szCs w:val="20"/>
          <w:highlight w:val="none"/>
        </w:rPr>
      </w:pPr>
      <w:r>
        <w:rPr>
          <w:rFonts w:hint="eastAsia" w:cs="宋体"/>
          <w:color w:val="auto"/>
          <w:sz w:val="18"/>
          <w:szCs w:val="20"/>
          <w:highlight w:val="none"/>
        </w:rPr>
        <w:t>业务办理时间：周一至周日（除国家法定节日外）上午：9:00至12:00  下午：13:30至17:30</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4652E"/>
    <w:multiLevelType w:val="multilevel"/>
    <w:tmpl w:val="2AC4652E"/>
    <w:lvl w:ilvl="0" w:tentative="0">
      <w:start w:val="1"/>
      <w:numFmt w:val="japaneseCounting"/>
      <w:lvlText w:val="（%1）"/>
      <w:lvlJc w:val="left"/>
      <w:pPr>
        <w:ind w:left="1350" w:hanging="72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1">
    <w:nsid w:val="5C9B54CB"/>
    <w:multiLevelType w:val="singleLevel"/>
    <w:tmpl w:val="5C9B54CB"/>
    <w:lvl w:ilvl="0" w:tentative="0">
      <w:start w:val="2"/>
      <w:numFmt w:val="decimal"/>
      <w:suff w:val="nothing"/>
      <w:lvlText w:val="%1、"/>
      <w:lvlJc w:val="left"/>
    </w:lvl>
  </w:abstractNum>
  <w:abstractNum w:abstractNumId="2">
    <w:nsid w:val="5D665836"/>
    <w:multiLevelType w:val="singleLevel"/>
    <w:tmpl w:val="5D665836"/>
    <w:lvl w:ilvl="0" w:tentative="0">
      <w:start w:val="4"/>
      <w:numFmt w:val="chineseCounting"/>
      <w:suff w:val="nothing"/>
      <w:lvlText w:val="%1、"/>
      <w:lvlJc w:val="left"/>
    </w:lvl>
  </w:abstractNum>
  <w:abstractNum w:abstractNumId="3">
    <w:nsid w:val="5D666325"/>
    <w:multiLevelType w:val="singleLevel"/>
    <w:tmpl w:val="5D666325"/>
    <w:lvl w:ilvl="0" w:tentative="0">
      <w:start w:val="2"/>
      <w:numFmt w:val="chineseCounting"/>
      <w:suff w:val="nothing"/>
      <w:lvlText w:val="（%1）"/>
      <w:lvlJc w:val="left"/>
    </w:lvl>
  </w:abstractNum>
  <w:abstractNum w:abstractNumId="4">
    <w:nsid w:val="64099D5A"/>
    <w:multiLevelType w:val="singleLevel"/>
    <w:tmpl w:val="64099D5A"/>
    <w:lvl w:ilvl="0" w:tentative="0">
      <w:start w:val="3"/>
      <w:numFmt w:val="chineseCounting"/>
      <w:suff w:val="nothing"/>
      <w:lvlText w:val="（%1）"/>
      <w:lvlJc w:val="left"/>
    </w:lvl>
  </w:abstractNum>
  <w:abstractNum w:abstractNumId="5">
    <w:nsid w:val="65095D61"/>
    <w:multiLevelType w:val="singleLevel"/>
    <w:tmpl w:val="65095D61"/>
    <w:lvl w:ilvl="0" w:tentative="0">
      <w:start w:val="1"/>
      <w:numFmt w:val="decimal"/>
      <w:suff w:val="nothing"/>
      <w:lvlText w:val="%1、"/>
      <w:lvlJc w:val="left"/>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015D1"/>
    <w:rsid w:val="579251E4"/>
    <w:rsid w:val="6AF827CD"/>
    <w:rsid w:val="73B36896"/>
    <w:rsid w:val="7A8C52C7"/>
    <w:rsid w:val="7D5D7FF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First Indent 2"/>
    <w:next w:val="1"/>
    <w:uiPriority w:val="0"/>
    <w:pPr>
      <w:widowControl w:val="0"/>
      <w:ind w:firstLine="420" w:firstLineChars="200"/>
      <w:jc w:val="both"/>
    </w:pPr>
    <w:rPr>
      <w:rFonts w:ascii="宋体" w:hAnsi="宋体" w:eastAsia="宋体" w:cs="Times New Roman"/>
      <w:kern w:val="2"/>
      <w:sz w:val="28"/>
      <w:szCs w:val="28"/>
      <w:lang w:val="en-US" w:eastAsia="zh-CN" w:bidi="ar-SA"/>
    </w:rPr>
  </w:style>
  <w:style w:type="paragraph" w:customStyle="1" w:styleId="6">
    <w:name w:val="_Style 0"/>
    <w:qFormat/>
    <w:uiPriority w:val="1"/>
    <w:pPr>
      <w:widowControl w:val="0"/>
      <w:jc w:val="both"/>
    </w:pPr>
    <w:rPr>
      <w:rFonts w:ascii="Calibri" w:hAnsi="Calibri" w:eastAsiaTheme="minorEastAsia" w:cstheme="minorBidi"/>
      <w:kern w:val="2"/>
      <w:sz w:val="21"/>
      <w:szCs w:val="22"/>
      <w:lang w:val="en-US" w:eastAsia="zh-CN" w:bidi="ar-SA"/>
    </w:rPr>
  </w:style>
  <w:style w:type="paragraph" w:customStyle="1" w:styleId="7">
    <w:name w:val="无间隔1"/>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2023-09-19T08:43:23Z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